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7A54FA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7A54FA">
        <w:rPr>
          <w:rFonts w:ascii="Verdana" w:hAnsi="Verdana"/>
          <w:b/>
          <w:color w:val="4E3F85"/>
          <w:sz w:val="20"/>
          <w:szCs w:val="20"/>
        </w:rPr>
        <w:t>DECRETO-LEGGE 24 aprile 2014, n. 66</w:t>
      </w:r>
    </w:p>
    <w:p w:rsidR="00E84F39" w:rsidRPr="004B75BB" w:rsidRDefault="007A54FA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A54FA">
        <w:rPr>
          <w:rFonts w:ascii="Verdana" w:hAnsi="Verdana"/>
          <w:sz w:val="20"/>
          <w:szCs w:val="20"/>
        </w:rPr>
        <w:t>Misu</w:t>
      </w:r>
      <w:r>
        <w:rPr>
          <w:rFonts w:ascii="Verdana" w:hAnsi="Verdana"/>
          <w:sz w:val="20"/>
          <w:szCs w:val="20"/>
        </w:rPr>
        <w:t>re urgenti per la competitività</w:t>
      </w:r>
      <w:r w:rsidRPr="007A54FA">
        <w:rPr>
          <w:rFonts w:ascii="Verdana" w:hAnsi="Verdana"/>
          <w:sz w:val="20"/>
          <w:szCs w:val="20"/>
        </w:rPr>
        <w:t xml:space="preserve"> e la giustizia sociale. (14G00079)</w:t>
      </w:r>
      <w:r w:rsidR="004B75BB" w:rsidRPr="004B75BB">
        <w:rPr>
          <w:sz w:val="20"/>
          <w:szCs w:val="20"/>
          <w:vertAlign w:val="superscript"/>
        </w:rPr>
        <w:footnoteReference w:id="1"/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 xml:space="preserve">Visti gli articoli 77 e 87 della Costituzione; 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Ritenuta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straordinaria</w:t>
      </w:r>
      <w:r w:rsidR="007A54FA">
        <w:rPr>
          <w:rFonts w:ascii="Verdana" w:hAnsi="Verdana"/>
          <w:sz w:val="18"/>
          <w:szCs w:val="18"/>
        </w:rPr>
        <w:t xml:space="preserve"> necessità </w:t>
      </w:r>
      <w:r w:rsidR="007A54FA" w:rsidRPr="007A54FA">
        <w:rPr>
          <w:rFonts w:ascii="Verdana" w:hAnsi="Verdana"/>
          <w:sz w:val="18"/>
          <w:szCs w:val="18"/>
        </w:rPr>
        <w:t>ed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urgenza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emanare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disposizioni in materia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fiscale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anche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fine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assicurare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il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rilancio dell'economia attraverso la riduzione del cuneo fiscale; 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Conside</w:t>
      </w:r>
      <w:r w:rsidR="007A54FA">
        <w:rPr>
          <w:rFonts w:ascii="Verdana" w:hAnsi="Verdana"/>
          <w:sz w:val="18"/>
          <w:szCs w:val="18"/>
        </w:rPr>
        <w:t>rata la straordinaria necessità</w:t>
      </w:r>
      <w:r w:rsidR="007A54FA" w:rsidRPr="007A54FA">
        <w:rPr>
          <w:rFonts w:ascii="Verdana" w:hAnsi="Verdana"/>
          <w:sz w:val="18"/>
          <w:szCs w:val="18"/>
        </w:rPr>
        <w:t xml:space="preserve"> ed urgenza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intervenire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in materia di revisione della spesa pubblica, attraverso la riduzione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delle spese per acquisti di beni e servizi,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garantendo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contempo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l'invarianza dei servizi ai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cittadini,</w:t>
      </w:r>
      <w:r w:rsidR="007A54FA">
        <w:rPr>
          <w:rFonts w:ascii="Verdana" w:hAnsi="Verdana"/>
          <w:sz w:val="18"/>
          <w:szCs w:val="18"/>
        </w:rPr>
        <w:t xml:space="preserve"> nonché </w:t>
      </w:r>
      <w:r w:rsidR="007A54FA" w:rsidRPr="007A54FA">
        <w:rPr>
          <w:rFonts w:ascii="Verdana" w:hAnsi="Verdana"/>
          <w:sz w:val="18"/>
          <w:szCs w:val="18"/>
        </w:rPr>
        <w:t>per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assicurare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stabilizzazione della finanza pubblica, anche attraverso misure volte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 garantire la razionalizzazione, l'efficienza</w:t>
      </w:r>
      <w:r w:rsidR="007A54FA">
        <w:rPr>
          <w:rFonts w:ascii="Verdana" w:hAnsi="Verdana"/>
          <w:sz w:val="18"/>
          <w:szCs w:val="18"/>
        </w:rPr>
        <w:t xml:space="preserve">, l'economicità </w:t>
      </w:r>
      <w:r w:rsidR="007A54FA" w:rsidRPr="007A54FA">
        <w:rPr>
          <w:rFonts w:ascii="Verdana" w:hAnsi="Verdana"/>
          <w:sz w:val="18"/>
          <w:szCs w:val="18"/>
        </w:rPr>
        <w:t>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trasparenza dell'organizzazione degli apparati politico istituzionali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e delle autonomie locali; 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>
        <w:rPr>
          <w:rFonts w:ascii="Verdana" w:hAnsi="Verdana"/>
          <w:sz w:val="18"/>
          <w:szCs w:val="18"/>
        </w:rPr>
        <w:t xml:space="preserve">Considerata, altresì, la straordinaria necessità </w:t>
      </w:r>
      <w:r w:rsidR="007A54FA" w:rsidRPr="007A54FA">
        <w:rPr>
          <w:rFonts w:ascii="Verdana" w:hAnsi="Verdana"/>
          <w:sz w:val="18"/>
          <w:szCs w:val="18"/>
        </w:rPr>
        <w:t>ed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urgenza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emanare ulteriori disposizioni in materia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pagamenti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debiti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della pubblica amministrazione; 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Vista la deliberazione del Consiglio dei Ministri,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adottata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nella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riunione del 18 aprile 2014; </w:t>
      </w:r>
    </w:p>
    <w:p w:rsidR="004B75BB" w:rsidRPr="004B75BB" w:rsidRDefault="002E5BAA" w:rsidP="002E5BA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="007A54FA" w:rsidRPr="007A54FA">
        <w:rPr>
          <w:rFonts w:ascii="Verdana" w:hAnsi="Verdana"/>
          <w:sz w:val="18"/>
          <w:szCs w:val="18"/>
        </w:rPr>
        <w:t>Sulla proposta del Presidente del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Consiglio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Ministri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Ministro dell'economia e delle finanze;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="007A54FA">
        <w:rPr>
          <w:rFonts w:ascii="Verdana" w:hAnsi="Verdana"/>
          <w:b/>
          <w:color w:val="1F497D" w:themeColor="text2"/>
          <w:sz w:val="18"/>
          <w:szCs w:val="18"/>
        </w:rPr>
        <w:t>-17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7A54FA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18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. - </w:t>
      </w:r>
      <w:r w:rsidRPr="007A54FA">
        <w:rPr>
          <w:rFonts w:ascii="Verdana" w:hAnsi="Verdana"/>
          <w:b/>
          <w:color w:val="1F497D" w:themeColor="text2"/>
          <w:sz w:val="18"/>
          <w:szCs w:val="18"/>
        </w:rPr>
        <w:t>Abolizione di agevolazioni postali</w:t>
      </w:r>
    </w:p>
    <w:p w:rsidR="004B75BB" w:rsidRPr="004B75BB" w:rsidRDefault="007A54FA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A54FA">
        <w:rPr>
          <w:rFonts w:ascii="Verdana" w:hAnsi="Verdana"/>
          <w:sz w:val="18"/>
          <w:szCs w:val="18"/>
        </w:rPr>
        <w:t>A decorrere dal 1° giugno 2014, le tariffe postali agevolate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cui agli articoli 17 e 20 della legge 10 dicembre 1993,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515,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all'articolo 12, comma 6-bis, del decreto-legge 28 dicembre 2013,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149, convertito, con modificazioni, dalla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2014,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n.13, sono soppresse. Il fornitore de</w:t>
      </w:r>
      <w:r>
        <w:rPr>
          <w:rFonts w:ascii="Verdana" w:hAnsi="Verdana"/>
          <w:sz w:val="18"/>
          <w:szCs w:val="18"/>
        </w:rPr>
        <w:t xml:space="preserve">l servizio postale universale è </w:t>
      </w:r>
      <w:r w:rsidRPr="007A54FA">
        <w:rPr>
          <w:rFonts w:ascii="Verdana" w:hAnsi="Verdana"/>
          <w:sz w:val="18"/>
          <w:szCs w:val="18"/>
        </w:rPr>
        <w:t>autorizzato ad assumere iniziative commerciali e organizzative idonee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a contenere nel limite degli stanziamenti del bilancio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allo scopo finalizzati, l'onere relativo alla fruizione entro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maggio 2014 delle predette tariffe postali agevolate.</w:t>
      </w:r>
    </w:p>
    <w:sectPr w:rsidR="004B75BB" w:rsidRPr="004B75BB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:rsidR="004B75BB" w:rsidRPr="004B75BB" w:rsidRDefault="004B75BB" w:rsidP="004B75B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4B75BB">
        <w:rPr>
          <w:rStyle w:val="Rimandonotaapidipagina"/>
          <w:rFonts w:ascii="Verdana" w:hAnsi="Verdana"/>
          <w:sz w:val="16"/>
          <w:szCs w:val="16"/>
        </w:rPr>
        <w:footnoteRef/>
      </w:r>
      <w:r w:rsidRPr="004B75BB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2E5BAA" w:rsidTr="001C3EA2">
      <w:tc>
        <w:tcPr>
          <w:tcW w:w="3505" w:type="dxa"/>
          <w:shd w:val="clear" w:color="auto" w:fill="auto"/>
          <w:vAlign w:val="center"/>
        </w:tcPr>
        <w:p w:rsidR="002E5BAA" w:rsidRPr="00A47199" w:rsidRDefault="002E5BAA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A13EC3" wp14:editId="13F1723E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2E5BAA" w:rsidRPr="00A47199" w:rsidRDefault="002E5BAA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B87F3A" wp14:editId="30F5B19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5BAA" w:rsidRDefault="002E5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2E5BAA"/>
    <w:rsid w:val="004B75BB"/>
    <w:rsid w:val="007A54FA"/>
    <w:rsid w:val="008D4601"/>
    <w:rsid w:val="009A3353"/>
    <w:rsid w:val="00D85C1C"/>
    <w:rsid w:val="00DD6296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AA3E-0F06-4542-B27B-EF07618F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2018-01-03T16:15:00Z</dcterms:created>
  <dcterms:modified xsi:type="dcterms:W3CDTF">2018-01-07T15:42:00Z</dcterms:modified>
</cp:coreProperties>
</file>