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r w:rsidRPr="00C42687">
        <w:rPr>
          <w:rFonts w:ascii="Verdana" w:hAnsi="Verdana" w:cs="Arial"/>
          <w:b/>
          <w:color w:val="4E3F85"/>
          <w:sz w:val="20"/>
          <w:szCs w:val="20"/>
        </w:rPr>
        <w:t>DECRETO-LEGGE 24 giugno 1994, n. 408</w:t>
      </w:r>
      <w:r w:rsidR="006169FD">
        <w:rPr>
          <w:rStyle w:val="Rimandonotaapidipagina"/>
          <w:rFonts w:ascii="Verdana" w:hAnsi="Verdana" w:cs="Arial"/>
          <w:b/>
          <w:color w:val="4E3F85"/>
          <w:sz w:val="20"/>
          <w:szCs w:val="20"/>
        </w:rPr>
        <w:footnoteReference w:id="1"/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C42687">
        <w:rPr>
          <w:rFonts w:ascii="Verdana" w:hAnsi="Verdana" w:cs="Arial"/>
          <w:sz w:val="20"/>
          <w:szCs w:val="20"/>
        </w:rPr>
        <w:t>Disposizioni urgenti in materia di elezioni al Parlamento europeo.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C42687" w:rsidRPr="00C42687" w:rsidRDefault="00C42687" w:rsidP="00B476C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IL PRESIDENTE DELLA REPUBBLICA</w:t>
      </w:r>
    </w:p>
    <w:p w:rsidR="00C42687" w:rsidRPr="00C42687" w:rsidRDefault="00B476C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42687" w:rsidRPr="00C42687">
        <w:rPr>
          <w:rFonts w:ascii="Verdana" w:hAnsi="Verdana"/>
          <w:sz w:val="18"/>
          <w:szCs w:val="18"/>
        </w:rPr>
        <w:t xml:space="preserve">Visti gli articoli 77 e 87 della Costituzione; </w:t>
      </w:r>
    </w:p>
    <w:p w:rsidR="00C42687" w:rsidRPr="00C42687" w:rsidRDefault="00B476C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42687" w:rsidRPr="00C42687">
        <w:rPr>
          <w:rFonts w:ascii="Verdana" w:hAnsi="Verdana"/>
          <w:sz w:val="18"/>
          <w:szCs w:val="18"/>
        </w:rPr>
        <w:t>Rit</w:t>
      </w:r>
      <w:r>
        <w:rPr>
          <w:rFonts w:ascii="Verdana" w:hAnsi="Verdana"/>
          <w:sz w:val="18"/>
          <w:szCs w:val="18"/>
        </w:rPr>
        <w:t>enuta la straordinaria necessità</w:t>
      </w:r>
      <w:r w:rsidR="00C42687" w:rsidRPr="00C42687">
        <w:rPr>
          <w:rFonts w:ascii="Verdana" w:hAnsi="Verdana"/>
          <w:sz w:val="18"/>
          <w:szCs w:val="18"/>
        </w:rPr>
        <w:t xml:space="preserve"> ed urgenza di dare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alla direttiva 93/109/CE del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Consiglio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dell'Unione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europea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dicembre 1993, la cui scadenza era prevista per il 1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febbraio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1994,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per la previsione e disciplina del diritto di voto e di eleggibilit</w:t>
      </w:r>
      <w:r>
        <w:rPr>
          <w:rFonts w:ascii="Verdana" w:hAnsi="Verdana"/>
          <w:sz w:val="18"/>
          <w:szCs w:val="18"/>
        </w:rPr>
        <w:t xml:space="preserve">à </w:t>
      </w:r>
      <w:r w:rsidR="00C42687" w:rsidRPr="00C42687">
        <w:rPr>
          <w:rFonts w:ascii="Verdana" w:hAnsi="Verdana"/>
          <w:sz w:val="18"/>
          <w:szCs w:val="18"/>
        </w:rPr>
        <w:t>alle elezioni del Parlamento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europeo,</w:t>
      </w:r>
      <w:r w:rsidR="00C4268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nonché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alla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decisione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Consigli</w:t>
      </w:r>
      <w:r>
        <w:rPr>
          <w:rFonts w:ascii="Verdana" w:hAnsi="Verdana"/>
          <w:sz w:val="18"/>
          <w:szCs w:val="18"/>
        </w:rPr>
        <w:t>o medesimo del 1 febbraio 1993;</w:t>
      </w:r>
    </w:p>
    <w:p w:rsidR="00C42687" w:rsidRPr="00C42687" w:rsidRDefault="00B476C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42687" w:rsidRPr="00C42687">
        <w:rPr>
          <w:rFonts w:ascii="Verdana" w:hAnsi="Verdana"/>
          <w:sz w:val="18"/>
          <w:szCs w:val="18"/>
        </w:rPr>
        <w:t>Vista la deliberazione del Consiglio dei Ministri,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adottata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 xml:space="preserve">riunione del 23 giugno 1994; </w:t>
      </w:r>
    </w:p>
    <w:p w:rsidR="00C42687" w:rsidRPr="00C42687" w:rsidRDefault="00B476C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C42687" w:rsidRPr="00C42687">
        <w:rPr>
          <w:rFonts w:ascii="Verdana" w:hAnsi="Verdana"/>
          <w:sz w:val="18"/>
          <w:szCs w:val="18"/>
        </w:rPr>
        <w:t>Sulla proposta del Presidente del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Consiglio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Ministri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Ministri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dell'interno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per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coordinamento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politiche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dell'Unione europea, di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concerto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Ministri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per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le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riforme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istituzionali, degli affari esteri, del tesoro e del bilancio e della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 xml:space="preserve">programmazione economica; </w:t>
      </w:r>
    </w:p>
    <w:p w:rsidR="00C42687" w:rsidRPr="00C42687" w:rsidRDefault="00B476C7" w:rsidP="00B476C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EMANA</w:t>
      </w:r>
    </w:p>
    <w:p w:rsidR="00C42687" w:rsidRPr="00C42687" w:rsidRDefault="00C42687" w:rsidP="00B476C7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il seguente decreto-legge:</w:t>
      </w:r>
    </w:p>
    <w:p w:rsidR="00B476C7" w:rsidRDefault="00B476C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Attuazione di direttiva del Consiglio dell'Unione europea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Con le disposizioni di cui agli articoli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 si provvede 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attuazione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direttiva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93/109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Consiglio dell'Unione europea 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1993,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relativa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modalit</w:t>
      </w:r>
      <w:r w:rsidR="00B476C7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di esercizio del diritto di voto 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eleggibilit</w:t>
      </w:r>
      <w:r w:rsidR="00B476C7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elezioni del Parlamento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risiedono in uno Stato membro di cui non sono cittadini.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2.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Modalit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à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di esercizio dell'elettorato attivo e passivo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 cittadini di uno Stato membro dell'Unione europea,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seguito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definita Unione, residenti in Italia, che ivi intendano esercitare 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devono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presentare al sindaco del comune di residenza, entro e 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novantesimo giorno anteriore alla data fissata per 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consultazione,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domanda di iscrizione nell'apposita lista aggiunta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istituita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 predetto comune. In sede di prima applicazione, il termine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sopra </w:t>
      </w:r>
      <w:r w:rsidR="00B476C7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ridotto da novanta a ottanta giorni.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 xml:space="preserve">Nella domanda devono essere espressamente dichiarati: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a)</w:t>
      </w:r>
      <w:r w:rsidRPr="00C42687">
        <w:rPr>
          <w:rFonts w:ascii="Verdana" w:hAnsi="Verdana"/>
          <w:sz w:val="18"/>
          <w:szCs w:val="18"/>
        </w:rPr>
        <w:t xml:space="preserve"> la volont</w:t>
      </w:r>
      <w:r w:rsidR="00B476C7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di esercitare esclusivamente in Italia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diritto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di voto;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b)</w:t>
      </w:r>
      <w:r w:rsidRPr="00C42687">
        <w:rPr>
          <w:rFonts w:ascii="Verdana" w:hAnsi="Verdana"/>
          <w:sz w:val="18"/>
          <w:szCs w:val="18"/>
        </w:rPr>
        <w:t xml:space="preserve"> la cittadinanza;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c)</w:t>
      </w:r>
      <w:r w:rsidRPr="00C42687">
        <w:rPr>
          <w:rFonts w:ascii="Verdana" w:hAnsi="Verdana"/>
          <w:sz w:val="18"/>
          <w:szCs w:val="18"/>
        </w:rPr>
        <w:t xml:space="preserve"> l'indirizzo nel comune di residenza e nello Stato di origine;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d)</w:t>
      </w:r>
      <w:r w:rsidRPr="00C42687">
        <w:rPr>
          <w:rFonts w:ascii="Verdana" w:hAnsi="Verdana"/>
          <w:sz w:val="18"/>
          <w:szCs w:val="18"/>
        </w:rPr>
        <w:t xml:space="preserve"> il possesso della capacit</w:t>
      </w:r>
      <w:r w:rsidR="00B476C7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elettorale nello Stato di origine;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e)</w:t>
      </w:r>
      <w:r w:rsidRPr="00C42687">
        <w:rPr>
          <w:rFonts w:ascii="Verdana" w:hAnsi="Verdana"/>
          <w:sz w:val="18"/>
          <w:szCs w:val="18"/>
        </w:rPr>
        <w:t xml:space="preserve"> l'assenza di un provvedimento giudiziario, penale o civile,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carico,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comporti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origine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perdita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dell'elettorato attivo.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lastRenderedPageBreak/>
        <w:t>3.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compiuta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l'istruttoria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necessaria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verificare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l'assenza di cause ostative secondo l'ordinamento nazionale, provvede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a: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iscrivere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nominativi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nell'apposita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aggiunta di cui 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sottoposta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controllo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ed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all'approvazione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circondariale;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b)</w:t>
      </w:r>
      <w:r w:rsidRPr="00C42687">
        <w:rPr>
          <w:rFonts w:ascii="Verdana" w:hAnsi="Verdana"/>
          <w:sz w:val="18"/>
          <w:szCs w:val="18"/>
        </w:rPr>
        <w:t xml:space="preserve"> comunicare l'avvenuto accoglimento della domanda di iscrizione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agli interessati 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far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pervenire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tempo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utile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certificato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elettorale;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copia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="00B476C7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trasmessa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 dell'interno che la ritrasmette, tramite il Ministero degli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affari esteri, alle autorit</w:t>
      </w:r>
      <w:r w:rsidR="00B476C7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competenti degli Stati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prevista cancellazione;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c)</w:t>
      </w:r>
      <w:r w:rsidRPr="00C42687">
        <w:rPr>
          <w:rFonts w:ascii="Verdana" w:hAnsi="Verdana"/>
          <w:sz w:val="18"/>
          <w:szCs w:val="18"/>
        </w:rPr>
        <w:t xml:space="preserve"> notificare agli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mancato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accoglimento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domanda con espressa avvertenza agli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possono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avvalersi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 facolt</w:t>
      </w:r>
      <w:r w:rsidR="00B476C7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di ricorso previste per i cittadini italiani.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4.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 cittadini 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inclusi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nell'apposita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lista aggiunta, vi restano iscritti fino 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chiedano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essere cancellati o fino a che non siano cancellati d'ufficio.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5.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Gli elettori iscritti nella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aggiunta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seggio nella cui circoscrizione territoriale risiedono.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essi sono assegnati, previa suddivisione 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appositi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elenchi,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relative sezioni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elettorali;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superamento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limite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massimo di ottocento elettori previsto 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proporzionalmente distribuiti nelle sezioni limitrofe.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6.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Il cittadino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intenda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presentare la propria candidatura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sensi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4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legge 24 gennaio 1979, n. 18, come modificato dall'articolo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legge 18 gennaio 1989, n. 9, deve produrre alla cancelleria 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corte d'appello competente, all'atto 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deposito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candidati,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oltre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documentazione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richiesta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candidati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nazionali, una dichiarazione formale contenente l'indicazione: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a)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cittadinanza,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luogo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nascita,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dell'ultimo indirizzo nello Stato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d'origine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dell'attuale</w:t>
      </w:r>
      <w:r w:rsidR="00B476C7">
        <w:rPr>
          <w:rFonts w:ascii="Verdana" w:hAnsi="Verdana"/>
          <w:sz w:val="18"/>
          <w:szCs w:val="18"/>
        </w:rPr>
        <w:t xml:space="preserve"> indirizzo in Italia;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b)</w:t>
      </w:r>
      <w:r w:rsidRPr="00C42687">
        <w:rPr>
          <w:rFonts w:ascii="Verdana" w:hAnsi="Verdana"/>
          <w:sz w:val="18"/>
          <w:szCs w:val="18"/>
        </w:rPr>
        <w:t xml:space="preserve"> del comune o circoscrizione dello Stato di origine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liste è</w:t>
      </w:r>
      <w:r w:rsidRPr="00C42687">
        <w:rPr>
          <w:rFonts w:ascii="Verdana" w:hAnsi="Verdana"/>
          <w:sz w:val="18"/>
          <w:szCs w:val="18"/>
        </w:rPr>
        <w:t xml:space="preserve"> eventualmente iscritto;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c)</w:t>
      </w:r>
      <w:r w:rsidRPr="00C42687">
        <w:rPr>
          <w:rFonts w:ascii="Verdana" w:hAnsi="Verdana"/>
          <w:sz w:val="18"/>
          <w:szCs w:val="18"/>
        </w:rPr>
        <w:t xml:space="preserve"> 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candidato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presenter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propria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candidatura per la stessa elezione del Parlamento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alcun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altro Stato dell'Unione.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c-bis)</w:t>
      </w:r>
      <w:r w:rsidR="00A05213">
        <w:rPr>
          <w:rFonts w:ascii="Verdana" w:hAnsi="Verdana"/>
          <w:sz w:val="18"/>
          <w:szCs w:val="18"/>
        </w:rPr>
        <w:t xml:space="preserve"> che non è</w:t>
      </w:r>
      <w:r w:rsidRPr="00C42687">
        <w:rPr>
          <w:rFonts w:ascii="Verdana" w:hAnsi="Verdana"/>
          <w:sz w:val="18"/>
          <w:szCs w:val="18"/>
        </w:rPr>
        <w:t xml:space="preserve"> decaduto dal diritto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eleggibilit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Stato membro d'origine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effetto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decisione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giudiziaria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individuale o di una decisione amministrativa,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purch</w:t>
      </w:r>
      <w:r w:rsidR="00A05213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quest'ultima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possa essere ogget</w:t>
      </w:r>
      <w:r w:rsidR="00B476C7">
        <w:rPr>
          <w:rFonts w:ascii="Verdana" w:hAnsi="Verdana"/>
          <w:sz w:val="18"/>
          <w:szCs w:val="18"/>
        </w:rPr>
        <w:t>to di ricorso giurisdizionale.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7.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Corte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d'appello, dopo aver ammesso con riserva la candidatura del cittadino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 altro Stato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immediatamente,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posta elettronica certificata, la dichiarazione di cui al comma 6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referente di cui al comma 9-ter che provvede ad inviarla, utilizzando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l'indirizzo di posta elettronica accreditato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Commissione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europea, al referente dello Stato membro d'origine del dichiarante ai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fini della verifica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eleggibilità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parlamentare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europeo, secondo il proprio ordinamento interno. Il referente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al comma 9-ter può</w:t>
      </w:r>
      <w:r w:rsidRPr="00C42687">
        <w:rPr>
          <w:rFonts w:ascii="Verdana" w:hAnsi="Verdana"/>
          <w:sz w:val="18"/>
          <w:szCs w:val="18"/>
        </w:rPr>
        <w:t xml:space="preserve"> richiedere che tali informazioni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fornite,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ove possibile, entro un termine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pi</w:t>
      </w:r>
      <w:r w:rsidR="006169FD">
        <w:rPr>
          <w:rFonts w:ascii="Verdana" w:hAnsi="Verdana"/>
          <w:sz w:val="18"/>
          <w:szCs w:val="18"/>
        </w:rPr>
        <w:t>ù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breve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rispetto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cinque giorni previsto dalla direttiva 2013/1/UE 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Consiglio,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20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dicembre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2012.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Ricevute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referente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trasmette,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tramite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elettronica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certificata,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all'ufficio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d'appello,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dell'eventuale ricusazione della candidatura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ventiduesimo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gio</w:t>
      </w:r>
      <w:r w:rsidR="00B476C7">
        <w:rPr>
          <w:rFonts w:ascii="Verdana" w:hAnsi="Verdana"/>
          <w:sz w:val="18"/>
          <w:szCs w:val="18"/>
        </w:rPr>
        <w:t>rno antecedente la votazione.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8.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d'appello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competente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informa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l'interessato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decisione relativa all'ammissibilit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della candidatura. 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rifiuto della candidatura, l'interessato fruisce 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forme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 tutela giurisdizionale consentite, in casi analoghi, 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candidati</w:t>
      </w:r>
      <w:r w:rsidR="00B476C7">
        <w:rPr>
          <w:rFonts w:ascii="Verdana" w:hAnsi="Verdana"/>
          <w:sz w:val="18"/>
          <w:szCs w:val="18"/>
        </w:rPr>
        <w:t xml:space="preserve"> italiani.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9.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informazioni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pervenute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circoscrizionale 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d'appello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dopo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ventiduesimo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giorno antecedente la votazione e in base alle quali </w:t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accertata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decadenza dal diritto di eleggibilit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nello Stato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d'origine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comportano, da parte dell'ufficio medesimo, ove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l'interessato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abbia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riportato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poter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lastRenderedPageBreak/>
        <w:t>eletto,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dichiarazione di mancata proclamazione. Qualora la condizione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 precedente periodo venga accertata successivamente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proclamazione dell'interessato, la sua decadenza dalla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viene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deliberata dal</w:t>
      </w:r>
      <w:r w:rsidR="00B476C7">
        <w:rPr>
          <w:rFonts w:ascii="Verdana" w:hAnsi="Verdana"/>
          <w:sz w:val="18"/>
          <w:szCs w:val="18"/>
        </w:rPr>
        <w:t>l'ufficio elettorale nazionale.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9-bis.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Le informazioni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richieste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referente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membro, sul possesso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dell'eleggibilit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parlamentare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 dei cittadini italiani che intendono candidarsi in tale Stato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 residenza, sono trasmesse con posta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elettronica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certificata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referente di cui al comma 9-ter 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indicato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dichiarazione di cui al 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6,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iscrizione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anagrafica,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corrisponde,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mezzo,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quarantotto ore successive alla ricezione.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accerta il possesso dell'elettorato attivo e passivo sulla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propri atti e di quelli acquisiti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casellario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giudiziale. Le informazioni sul possesso dell'eleggibilit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trasmesse dal referente, 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posta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elettronica,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referente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suddetto Stato entro cinque giorni dalla richiesta stessa,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termine pi</w:t>
      </w:r>
      <w:r w:rsidR="00A05213">
        <w:rPr>
          <w:rFonts w:ascii="Verdana" w:hAnsi="Verdana"/>
          <w:sz w:val="18"/>
          <w:szCs w:val="18"/>
        </w:rPr>
        <w:t>ù</w:t>
      </w:r>
      <w:r w:rsidRPr="00C42687">
        <w:rPr>
          <w:rFonts w:ascii="Verdana" w:hAnsi="Verdana"/>
          <w:sz w:val="18"/>
          <w:szCs w:val="18"/>
        </w:rPr>
        <w:t xml:space="preserve"> breve, se richiesto ed ove possibile</w:t>
      </w:r>
      <w:r w:rsidR="00B476C7">
        <w:rPr>
          <w:rFonts w:ascii="Verdana" w:hAnsi="Verdana"/>
          <w:sz w:val="18"/>
          <w:szCs w:val="18"/>
        </w:rPr>
        <w:t>.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9-ter.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designato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referente incaricato di ricevere e trasmettere tutte 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informazioni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necessarie per l'applicazione delle disposizioni di cui ai commi 7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9-bis. Il nominativo del referente e le modifiche 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riguardano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comunicati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Commissione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tenuta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dell'elenco dei</w:t>
      </w:r>
      <w:r w:rsidR="00B476C7">
        <w:rPr>
          <w:rFonts w:ascii="Verdana" w:hAnsi="Verdana"/>
          <w:sz w:val="18"/>
          <w:szCs w:val="18"/>
        </w:rPr>
        <w:t xml:space="preserve"> referenti degli Stati membri.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3.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Voto degli italiani nei Paesi dell'Unione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residenti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Paesi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intendano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avvalersi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facolt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esercitarvi il diritto di voto 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iscritti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nell'apposito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elenco di cui all'articolo 4, possono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rappresentanti dell'Italia al Parlamento europeo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elettorali appositamente istituite nel territorio dei Paesi stessi.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Tali sezioni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dovranno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istituite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consolati d'Italia, gli istituti di cultura,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scuole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altri locali messi a disposizione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dell'Unione.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Qualora tali locali non risultino in misura sufficiente, la scelta 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ulteriori sedi 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l'istituzione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dovr</w:t>
      </w:r>
      <w:r w:rsidR="00A05213">
        <w:rPr>
          <w:rFonts w:ascii="Verdana" w:hAnsi="Verdana"/>
          <w:sz w:val="18"/>
          <w:szCs w:val="18"/>
        </w:rPr>
        <w:t>à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cadere su locali utilizzati dallo Stato italiano 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locali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idonei alle operazioni di voto, evitando 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seggi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siano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ubicati presso sedi di partiti politici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organismi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sindacali,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italiani o stranieri, ovvero 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edifici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destinati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culto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ad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attivit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industriali e commerciali. </w:t>
      </w:r>
    </w:p>
    <w:p w:rsidR="00C42687" w:rsidRPr="00C42687" w:rsidRDefault="00B476C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="00C42687" w:rsidRPr="00C42687">
        <w:rPr>
          <w:rFonts w:ascii="Verdana" w:hAnsi="Verdana"/>
          <w:sz w:val="18"/>
          <w:szCs w:val="18"/>
        </w:rPr>
        <w:t>Possono esprimere il voto presso le suddette sezioni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anche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elettori non iscritti nell'elenco di cui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all'articolo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4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che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trovino nel territorio dei Paesi membri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dell'Unione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per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motivi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lavoro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studio,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nonch</w:t>
      </w:r>
      <w:r w:rsidR="00A05213">
        <w:rPr>
          <w:rFonts w:ascii="Verdana" w:hAnsi="Verdana"/>
          <w:sz w:val="18"/>
          <w:szCs w:val="18"/>
        </w:rPr>
        <w:t>é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gli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elettori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familiari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essi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conviventi. A tal fine essi devono fare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pervenire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improrogabilmente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consolato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competente,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entro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l'ottantesimo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giorno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l'ultimo giorno del periodo fissato dal Consiglio dell'Unione a norma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dell'articolo 10 dell'atto firmato a Bruxelles il 20 settembre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1979,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apposita domanda diretta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sindaco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comune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nelle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cui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elettorali sono iscritti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per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successivo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inoltro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 xml:space="preserve">dell'interno.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4.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Il periodo di votazione fissato dal Consiglio dell'Unione ed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termine indicati al comma 3 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pubblicati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cura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dell'interno nella Gazzetta Ufficiale e vengono portati 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conoscenza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 elettori dalle rappresentanze diplomatiche e consolari presso 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Paesi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modalit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previste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quarto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dell'articolo 7 dell</w:t>
      </w:r>
      <w:r w:rsidR="00B476C7">
        <w:rPr>
          <w:rFonts w:ascii="Verdana" w:hAnsi="Verdana"/>
          <w:sz w:val="18"/>
          <w:szCs w:val="18"/>
        </w:rPr>
        <w:t>a legge 24 gennaio 1979, n. 18.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5.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Nella domanda devono essere indicati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cognome,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luogo e la data di nascita, il domicilio e l'indirizzo postale esatto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 richiedente, nonch</w:t>
      </w:r>
      <w:r w:rsidR="00A05213">
        <w:rPr>
          <w:rFonts w:ascii="Verdana" w:hAnsi="Verdana"/>
          <w:sz w:val="18"/>
          <w:szCs w:val="18"/>
        </w:rPr>
        <w:t>é</w:t>
      </w:r>
      <w:r w:rsidRPr="00C42687">
        <w:rPr>
          <w:rFonts w:ascii="Verdana" w:hAnsi="Verdana"/>
          <w:sz w:val="18"/>
          <w:szCs w:val="18"/>
        </w:rPr>
        <w:t xml:space="preserve"> i motivi per i quali lo stesso si trova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territorio della circoscrizione consolare; detti motivi devono essere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attestati dal datore di lavoro 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dall'istituto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od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quale l'elettore svolge la sua attivit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di studio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confermati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ad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opera del consolato. </w:t>
      </w:r>
    </w:p>
    <w:p w:rsidR="00B476C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lastRenderedPageBreak/>
        <w:t>6.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Qualora la richiesta pervenga oltre il termine di cui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3, ovvero se non ricorrono le condizioni ivi previste,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consolato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provvede ad avvisare l'elettore che potr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esprimere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 sezione del comu</w:t>
      </w:r>
      <w:r w:rsidR="00A05213">
        <w:rPr>
          <w:rFonts w:ascii="Verdana" w:hAnsi="Verdana"/>
          <w:sz w:val="18"/>
          <w:szCs w:val="18"/>
        </w:rPr>
        <w:t>ne nelle cui liste è</w:t>
      </w:r>
      <w:r w:rsidR="00B476C7">
        <w:rPr>
          <w:rFonts w:ascii="Verdana" w:hAnsi="Verdana"/>
          <w:sz w:val="18"/>
          <w:szCs w:val="18"/>
        </w:rPr>
        <w:t xml:space="preserve"> iscritto.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7.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Le norme del presente articolo 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applicano,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mancando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ufficio consolare secondo la definizione di cui all'articolo 29 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citata legge n. 18 del 1979, come modificato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6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legge 9 aprile 1984, n. 61, agli elettori residenti nei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dipartimenti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d'oltremare della Repubblica francese,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viene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inviata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cartolina-avviso di cui all'articolo 50 della medesima legge.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4.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Adempimenti preliminari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La Direzione centrale per 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dell'interno, sulla base delle comunicazioni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pervenute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sindaci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 comuni di ultima iscrizione, provvede alla formazione,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revisione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 conservazione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elenchi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residenti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all'estero.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Ai fini di cui al comma 1, i comuni, a seguito degli adempimenti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effettuati dalle commissioni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circondariali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revisione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trasmettere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immediatamente al Ministero dell'interno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l'elenco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variazioni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apportate.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3.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Le variazioni non vengono pi</w:t>
      </w:r>
      <w:r w:rsidR="00A05213">
        <w:rPr>
          <w:rFonts w:ascii="Verdana" w:hAnsi="Verdana"/>
          <w:sz w:val="18"/>
          <w:szCs w:val="18"/>
        </w:rPr>
        <w:t>ù</w:t>
      </w:r>
      <w:r w:rsidRPr="00C42687">
        <w:rPr>
          <w:rFonts w:ascii="Verdana" w:hAnsi="Verdana"/>
          <w:sz w:val="18"/>
          <w:szCs w:val="18"/>
        </w:rPr>
        <w:t xml:space="preserve"> riportate sugli elenchi di cui 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 1 a partire dal settantesimo giorno anteriore a quello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fissato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per le votazioni.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4.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Dagli elenchi di cui al 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depennati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nominativi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 elettori per i quali sia pervenuta comunicazione da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 degli affari esteri della presentazione 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domanda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 quale l'elettore ha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chiesto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residenza.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5.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La Direzione centrale per i servizi elettorali, entro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decimo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giorno precedente la data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trasmette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 affari esteri, per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inoltro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singoli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consolari, un elenco degli elettori che votano all'estero diviso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 consolari e per sezioni estere, sulla base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indicazioni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fornite, per ciascun elettore, dal Ministero degli affari esteri. Nel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suddividere gli aventi diritto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ciascuna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localit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sezioni, il Ministero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dell'interno,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base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indicazioni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fornite dal Ministero degli affari esteri, assegna ad ogni sezione un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nume</w:t>
      </w:r>
      <w:r w:rsidR="006169FD">
        <w:rPr>
          <w:rFonts w:ascii="Verdana" w:hAnsi="Verdana"/>
          <w:sz w:val="18"/>
          <w:szCs w:val="18"/>
        </w:rPr>
        <w:t>ro di elettori non superiore a 3</w:t>
      </w:r>
      <w:r w:rsidRPr="00C42687">
        <w:rPr>
          <w:rFonts w:ascii="Verdana" w:hAnsi="Verdana"/>
          <w:sz w:val="18"/>
          <w:szCs w:val="18"/>
        </w:rPr>
        <w:t>.</w:t>
      </w:r>
      <w:r w:rsidR="006169FD">
        <w:rPr>
          <w:rFonts w:ascii="Verdana" w:hAnsi="Verdana"/>
          <w:sz w:val="18"/>
          <w:szCs w:val="18"/>
        </w:rPr>
        <w:t>0</w:t>
      </w:r>
      <w:r w:rsidRPr="00C42687">
        <w:rPr>
          <w:rFonts w:ascii="Verdana" w:hAnsi="Verdana"/>
          <w:sz w:val="18"/>
          <w:szCs w:val="18"/>
        </w:rPr>
        <w:t>00</w:t>
      </w:r>
      <w:r w:rsidR="006169FD">
        <w:rPr>
          <w:rStyle w:val="Rimandonotaapidipagina"/>
          <w:rFonts w:ascii="Verdana" w:hAnsi="Verdana"/>
          <w:sz w:val="18"/>
          <w:szCs w:val="18"/>
        </w:rPr>
        <w:footnoteReference w:id="2"/>
      </w:r>
      <w:r w:rsidRPr="00C42687">
        <w:rPr>
          <w:rFonts w:ascii="Verdana" w:hAnsi="Verdana"/>
          <w:sz w:val="18"/>
          <w:szCs w:val="18"/>
        </w:rPr>
        <w:t xml:space="preserve"> e non inferiore a 200.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6.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Direzione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centrale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servizi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provvede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altresì</w:t>
      </w:r>
      <w:r w:rsidRPr="00C42687">
        <w:rPr>
          <w:rFonts w:ascii="Verdana" w:hAnsi="Verdana"/>
          <w:sz w:val="18"/>
          <w:szCs w:val="18"/>
        </w:rPr>
        <w:t>, entro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quindicesimo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votazione, a spedire il certificato elettorale agli elettori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all'articolo 3, comma 1, ed a quelli di cui al comma 3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articolo che abbiano fatto pervenire tempestiva domanda,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dando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loro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notizia del giorno 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orari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nonch</w:t>
      </w:r>
      <w:r w:rsidR="00A05213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localit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della votazione.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7.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Della spedizione del certificato elettorale agli elettori di cui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al comma 3 dell'articolo 3 </w:t>
      </w:r>
      <w:r w:rsidR="00A05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comunicazione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commissione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elettorale circondariale perché</w:t>
      </w:r>
      <w:r w:rsidRPr="00C42687">
        <w:rPr>
          <w:rFonts w:ascii="Verdana" w:hAnsi="Verdana"/>
          <w:sz w:val="18"/>
          <w:szCs w:val="18"/>
        </w:rPr>
        <w:t xml:space="preserve"> apporti apposita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annotazione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liste sezionali.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8.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Gli elettori di cui al presente articolo che,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quinto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giorno precedente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hanno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ricevuto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domicilio il certificato elettorale possono farne richiesta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capo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dell'ufficio consolare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circoscrizione,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accertato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preventivamente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nominativo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dell'elettore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richiedente</w:t>
      </w:r>
      <w:r>
        <w:rPr>
          <w:rFonts w:ascii="Verdana" w:hAnsi="Verdana"/>
          <w:sz w:val="18"/>
          <w:szCs w:val="18"/>
        </w:rPr>
        <w:t xml:space="preserve"> </w:t>
      </w:r>
      <w:r w:rsidR="006169FD">
        <w:rPr>
          <w:rFonts w:ascii="Verdana" w:hAnsi="Verdana"/>
          <w:sz w:val="18"/>
          <w:szCs w:val="18"/>
        </w:rPr>
        <w:t>è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incluso negli elenchi trasmessi dal Ministero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dell'interno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norma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 comma 5, rilascia apposita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certificazione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l'ammissione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voto e provvede ad includere i nomi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interessati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appositi elenchi, aggiunti a quelli previsti dal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5,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distinti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 sezione, da consegnare ai presidenti delle sezioni alle quali 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elettori stessi sono assegnati.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lastRenderedPageBreak/>
        <w:t>9.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Gli elettori di cui ai commi 1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iscritti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nelle liste elettorali, a norma del quarto comma dell'articolo 32 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testo unico delle leggi per la disciplina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dell'elettorato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attivo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 la tenuta e la revisione delle liste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 del Presidente della Repubblica 20 marzo 1967, n.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223,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sostituito dall'articolo 2 della legge 7 febbraio 1979, n.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40,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dopo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 compilazione degli elenchi di cui al comma 5 o 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qualsiasi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motivo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omessi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detti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elenchi,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devono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essere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immediatamente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segnalati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comune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risultano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iscritti all'ufficio consolare della circoscrizione in cui si trovano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 il rilascio della certificazione di ammissione al voto 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conseguente inclusione dei relativi nominativi negli appositi elenchi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di cui al comma 8.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5.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Operazioni di voto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Salvo quanto disposto dal presente articolo,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operazioni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 nelle sezioni di cui all'articolo 3 hanno luogo secondo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disposizioni del titolo IV del testo unico delle leggi recanti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norme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 la elezione della Camera dei deputati, approvato con decreto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Presidente della Repubblica 30 marzo 1957, n. 361, nei giorni e nelle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ore determinati con decreto del Ministro dell'interno,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terzo comma dell'articolo 7 della legge 24 gennaio 1979, n. 18.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Gli elettori, per essere ammessi a votare nelle sezioni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all'articolo 3, devono esibire il certificato elettorale,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ovvero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certificazione di cui al comma 8 dell'articolo 4.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3.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Ha, inoltre, diritto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munito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certificato elettorale attestante la sua assegnazione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anche se non iscritto nel relativo elenco degli elettori.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4.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Gli elettori di cui al comma 3, all'atto 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iscritti, a cura del presidente, in calce all'elenco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elettori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della sezione e di essi è</w:t>
      </w:r>
      <w:r w:rsidRPr="00C42687">
        <w:rPr>
          <w:rFonts w:ascii="Verdana" w:hAnsi="Verdana"/>
          <w:sz w:val="18"/>
          <w:szCs w:val="18"/>
        </w:rPr>
        <w:t xml:space="preserve"> presa nota nel verbale.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5.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Uno dei componenti del seggio accerta che l'elettore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ha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apponendo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propria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firma,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accanto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dell'elettore,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nell'elenco di cui al comma 8 dell'articolo 4.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6.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Le schede votate sono immesse nell'unica urna di cui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seggio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dotato.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7.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Alle sezioni elettorali istituite a norma dell'articolo 3 non si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applicano le disposizioni degli articoli 49, 50, 51, 52, 53 e 54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testo unico approvato con decreto del Presidente della Repubblica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30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marzo 1957, n. 361, e successive modificazioni, e degli articoli 8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9 della legge 23 aprile 1976, n. 136.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8.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Il presidente,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scrutatori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seggio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votano, previa esibizione dei documenti 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 presso la quale esercitano il loro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siano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iscritti come elettori in altra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costituita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all'estero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sensi dell'articolo 3.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9.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 rappresentanti delle liste dei candidati votano nella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presso la quale esercitano il loro ufficio, alle condizioni di cui 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 8 oppure, se non sono iscritti come elettori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alcuna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sezioni costituite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all'estero,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previa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esibizione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certificato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elettorale. </w:t>
      </w:r>
      <w:bookmarkStart w:id="0" w:name="_GoBack"/>
      <w:bookmarkEnd w:id="0"/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10.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 certificati medici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eventualmente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richiesti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agli effetti dell'articolo 55 del testo unico approvato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 Presidente della Repubblica 30 marzo 1957, n. 361, possono essere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rilasciati da un medico del luogo.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Dopo che gli elettori hanno votato, il presidente procede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operazioni di cui all'articolo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67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 del Presidente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361,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separatamente per ogni circoscrizione elettorale.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Successivamente il presidente del seggio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suddivide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schede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votate per circoscrizione elettorale e chiude ogni gruppo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schede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 un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sigillato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bollo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viene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recapitato immediatamente al capo dell'ufficio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consolare,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inoltra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plichi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stessi,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via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aerea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mezzo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corriere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diplomatico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accompagnato,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competenti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circoscrizionali.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lastRenderedPageBreak/>
        <w:t>13.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 plichi formati 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norma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67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unico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approvato con decreto del Presidente della Repubblica 30 marzo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1957,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n. 361, debbono essere consegnati,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contemporaneamente,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appositi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incaricati, al capo dell'ufficio consolare, il quale provvede per via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aerea, a mezzo di corriere diplomatico accompagnato, ad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inoltrare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suddetti plichi alla corte d'appello di Roma.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14.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Ogni ufficio di sezione deve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infine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provvedere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restituire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l'urna, il timbro, le matite e il materiale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consumato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capo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consolare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</w:t>
      </w:r>
      <w:r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curerà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conservazione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restituzione ai competenti uffici.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6.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Operazioni di scrutinio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 xml:space="preserve">Presso ogni ufficio elettorale circoscrizionale </w:t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costituito un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seggio elettorale per ogni duemila elettori residenti all'estero, con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 compito di provvedere alle operazioni di spoglio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scrutinio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dei voti inviati dagli uffici consolari a norma dell'articolo 5.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 xml:space="preserve">L'assegnazione dei plichi alle singole sezioni </w:t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fatta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cura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dell'ufficio elettorale circoscrizionale.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3.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Il presidente dell'ufficio elettorale circoscrizionale, entro 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quindicesimo giorno antecedente quello 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richiedere, rispettivamente, al presidente della corte d'appello e 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sindaco del comune, ove ha sede la corte d'appello stessa, 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nomina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dei presidenti di seggio e di quattro scrutatori per ogni seggio.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4.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Per 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seggio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disposizioni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vigenti per l'elezione della Camera dei deputati. </w:t>
      </w:r>
    </w:p>
    <w:p w:rsidR="00C42687" w:rsidRPr="00C42687" w:rsidRDefault="00B476C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5.</w:t>
      </w:r>
      <w:r>
        <w:rPr>
          <w:rFonts w:ascii="Verdana" w:hAnsi="Verdana"/>
          <w:sz w:val="18"/>
          <w:szCs w:val="18"/>
        </w:rPr>
        <w:tab/>
      </w:r>
      <w:r w:rsidR="00C42687" w:rsidRPr="00C42687">
        <w:rPr>
          <w:rFonts w:ascii="Verdana" w:hAnsi="Verdana"/>
          <w:sz w:val="18"/>
          <w:szCs w:val="18"/>
        </w:rPr>
        <w:t>Al presidente ed ai componenti dei seggi previsti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dal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articolo spetta un onorario fisso pari, rispettivamente, a quello del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presidente e dei componenti dei seggi istituiti a norma dell'articolo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34 del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testo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unico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approvato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con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decreto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Presidente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Repubblica 30 marzo 1957, n. 361, e successive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modificazioni.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il termine di cui al comma 3, il presidente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dell'ufficio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circoscrizionale, ai fini della dotazione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di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materiale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e</w:t>
      </w:r>
      <w:r w:rsidR="00C42687"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stampati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>occorrenti, comunica al comune ove ha sede l'ufficio stesso il numero</w:t>
      </w:r>
      <w:r>
        <w:rPr>
          <w:rFonts w:ascii="Verdana" w:hAnsi="Verdana"/>
          <w:sz w:val="18"/>
          <w:szCs w:val="18"/>
        </w:rPr>
        <w:t xml:space="preserve"> </w:t>
      </w:r>
      <w:r w:rsidR="00C42687" w:rsidRPr="00C42687">
        <w:rPr>
          <w:rFonts w:ascii="Verdana" w:hAnsi="Verdana"/>
          <w:sz w:val="18"/>
          <w:szCs w:val="18"/>
        </w:rPr>
        <w:t xml:space="preserve">delle sezioni speciali da istituire.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6.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Alle ore 21 del giorno fissato 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votazione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presidenti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 uffici elettorali di sezione, istituiti a norma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costituiti i rispettivi uffici, ricevono da parte del comune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ove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ha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l'ufficio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circoscrizionale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plico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sigillato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contenente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bollo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designazioni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rappresentanti delle liste dei candidati. Alla stessa ora ricevono da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parte del sindaco del comune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verbali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nomina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scrutatori.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7.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Inoltre, a ciascun presidente dei seggi di cui 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presidente dell'ufficio elettorale circoscrizionale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far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consegnare il plico sigillato contenente 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schede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pervenute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consolari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l'indicazione,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sull'involucro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esterno,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numero delle schede contenute.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8.</w:t>
      </w:r>
      <w:r w:rsidR="00B476C7">
        <w:rPr>
          <w:rFonts w:ascii="Verdana" w:hAnsi="Verdana"/>
          <w:sz w:val="18"/>
          <w:szCs w:val="18"/>
        </w:rPr>
        <w:tab/>
      </w:r>
      <w:r w:rsidR="00A05213">
        <w:rPr>
          <w:rFonts w:ascii="Verdana" w:hAnsi="Verdana"/>
          <w:sz w:val="18"/>
          <w:szCs w:val="18"/>
        </w:rPr>
        <w:t>Il presidente del seggio dà</w:t>
      </w:r>
      <w:r w:rsidRPr="00C42687">
        <w:rPr>
          <w:rFonts w:ascii="Verdana" w:hAnsi="Verdana"/>
          <w:sz w:val="18"/>
          <w:szCs w:val="18"/>
        </w:rPr>
        <w:t xml:space="preserve"> quindi inizio, alle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22,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operazioni di scrutinio per 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16,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terzo comma, della legge</w:t>
      </w:r>
      <w:r w:rsidR="00A05213">
        <w:rPr>
          <w:rFonts w:ascii="Verdana" w:hAnsi="Verdana"/>
          <w:sz w:val="18"/>
          <w:szCs w:val="18"/>
        </w:rPr>
        <w:t xml:space="preserve"> 24 gennaio 1979, n. 18, nonché</w:t>
      </w:r>
      <w:r w:rsidRPr="00C42687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quanto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applicabili, le norme del titolo V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unico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approvato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 del Presidente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30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marzo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1957,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361.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Compiute le operazioni di cui al primo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75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testo unico il presidente dell'ufficio elettorale di sezione provvede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 trasmettere all'ufficio elettorale circoscrizionale il plico di cui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all'articolo 17 della citata legge n. 18 del 1979.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7467F1" w:rsidRDefault="007467F1">
      <w:pPr>
        <w:rPr>
          <w:rFonts w:ascii="Verdana" w:hAnsi="Verdana" w:cs="Arial"/>
          <w:b/>
          <w:color w:val="1F497D" w:themeColor="text2"/>
          <w:sz w:val="18"/>
          <w:szCs w:val="18"/>
        </w:rPr>
      </w:pPr>
      <w:r>
        <w:rPr>
          <w:rFonts w:ascii="Verdana" w:hAnsi="Verdana" w:cs="Arial"/>
          <w:b/>
          <w:color w:val="1F497D" w:themeColor="text2"/>
          <w:sz w:val="18"/>
          <w:szCs w:val="18"/>
        </w:rPr>
        <w:br w:type="page"/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7.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- 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Assunzione di personale a contratto per l'espletamento delle operazioni elettorali all'estero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53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24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gennaio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1979,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18,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sostituito dal primo comma dell'articolo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15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9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aprile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1984, n. 61, è</w:t>
      </w:r>
      <w:r w:rsidRPr="00C42687">
        <w:rPr>
          <w:rFonts w:ascii="Verdana" w:hAnsi="Verdana"/>
          <w:sz w:val="18"/>
          <w:szCs w:val="18"/>
        </w:rPr>
        <w:t xml:space="preserve"> sostituito dal seguente: "Art. 53. - 1. Per far fronte alle esigenze organizzative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relative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 operazioni di voto nell'Unione, il Ministero degli affari esteri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autorizzato ad assumere, con le modalit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previste dal decreto 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Presidente della Repubblica 5 gennaio 1967, n. 18, anche in deroga ad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eventuali divieti di assunzione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ogni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limite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contingente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fissato dal citato decreto del Presidente della Repubblica n. 18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1967, fino a centotrenta impiegati 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contratto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temporaneo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 w:rsidR="00B476C7"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validità</w:t>
      </w:r>
      <w:r w:rsidRPr="00C42687">
        <w:rPr>
          <w:rFonts w:ascii="Verdana" w:hAnsi="Verdana"/>
          <w:sz w:val="18"/>
          <w:szCs w:val="18"/>
        </w:rPr>
        <w:t xml:space="preserve"> massima di tre mesi regolato dalla legge locale.".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 contratti di cui al comma 1, autorizzati dal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affari esteri, producono immediatamente effetto indipendentemente dal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perfezionamento del relativo decreto.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8.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Modificazioni della legge 24 gennaio 1979, n. 18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Alla legge 24 gennaio 1979, n. 18, sono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apportate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seguenti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modificazioni e integrazioni: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a)</w:t>
      </w:r>
      <w:r w:rsidR="00A05213">
        <w:rPr>
          <w:rFonts w:ascii="Verdana" w:hAnsi="Verdana"/>
          <w:sz w:val="18"/>
          <w:szCs w:val="18"/>
        </w:rPr>
        <w:t xml:space="preserve"> all'articolo 3 è</w:t>
      </w:r>
      <w:r w:rsidRPr="00C42687">
        <w:rPr>
          <w:rFonts w:ascii="Verdana" w:hAnsi="Verdana"/>
          <w:sz w:val="18"/>
          <w:szCs w:val="18"/>
        </w:rPr>
        <w:t xml:space="preserve"> aggiunto, in fine, il seguente comma: "Sono altres</w:t>
      </w:r>
      <w:r w:rsidR="00A05213">
        <w:rPr>
          <w:rFonts w:ascii="Verdana" w:hAnsi="Verdana"/>
          <w:sz w:val="18"/>
          <w:szCs w:val="18"/>
        </w:rPr>
        <w:t>ì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elettori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Paesi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membri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dell'Unione che, a seguito di formale richiesta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entro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non oltre il novantesimo giorno antecedente la data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fissata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elezioni,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abbiano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ottenuto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l'iscrizione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nell'apposita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lista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elettorale del comune italiano di residenza.";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b)</w:t>
      </w:r>
      <w:r w:rsidRPr="00C42687">
        <w:rPr>
          <w:rFonts w:ascii="Verdana" w:hAnsi="Verdana"/>
          <w:sz w:val="18"/>
          <w:szCs w:val="18"/>
        </w:rPr>
        <w:t xml:space="preserve"> all'articolo 4 il secondo comma,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introdotto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A05213">
        <w:rPr>
          <w:rFonts w:ascii="Verdana" w:hAnsi="Verdana"/>
          <w:sz w:val="18"/>
          <w:szCs w:val="18"/>
        </w:rPr>
        <w:t xml:space="preserve"> legge 18 gennaio 1989, n. 9, è</w:t>
      </w:r>
      <w:r w:rsidRPr="00C42687">
        <w:rPr>
          <w:rFonts w:ascii="Verdana" w:hAnsi="Verdana"/>
          <w:sz w:val="18"/>
          <w:szCs w:val="18"/>
        </w:rPr>
        <w:t xml:space="preserve"> sostituito dal seguente: "Sono inoltre eleggibili alla medesima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cittadini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altri Paesi membri dell'Unione che risultino in possesso dei</w:t>
      </w:r>
      <w:r w:rsidR="00A3712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requisiti di eleggibilit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al Parlamento europeo previsti dall'ordinamento italiano e che non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decaduti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 diritto di eleggibilit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nello Stato membro di origine.";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c)</w:t>
      </w:r>
      <w:r w:rsidRPr="00C42687">
        <w:rPr>
          <w:rFonts w:ascii="Verdana" w:hAnsi="Verdana"/>
          <w:sz w:val="18"/>
          <w:szCs w:val="18"/>
        </w:rPr>
        <w:t xml:space="preserve"> l'articolo 26 </w:t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abrogato;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d)</w:t>
      </w:r>
      <w:r w:rsidR="00A05213">
        <w:rPr>
          <w:rFonts w:ascii="Verdana" w:hAnsi="Verdana"/>
          <w:sz w:val="18"/>
          <w:szCs w:val="18"/>
        </w:rPr>
        <w:t xml:space="preserve"> l'articolo 28 è</w:t>
      </w:r>
      <w:r w:rsidRPr="00C42687">
        <w:rPr>
          <w:rFonts w:ascii="Verdana" w:hAnsi="Verdana"/>
          <w:sz w:val="18"/>
          <w:szCs w:val="18"/>
        </w:rPr>
        <w:t xml:space="preserve"> abrogato;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e)</w:t>
      </w:r>
      <w:r w:rsidRPr="00C42687">
        <w:rPr>
          <w:rFonts w:ascii="Verdana" w:hAnsi="Verdana"/>
          <w:sz w:val="18"/>
          <w:szCs w:val="18"/>
        </w:rPr>
        <w:t xml:space="preserve"> i primi sei commi dell'articolo 30 sono abrogati; </w:t>
      </w:r>
    </w:p>
    <w:p w:rsidR="00C42687" w:rsidRPr="00C42687" w:rsidRDefault="00C42687" w:rsidP="006169FD">
      <w:pPr>
        <w:tabs>
          <w:tab w:val="left" w:pos="426"/>
        </w:tabs>
        <w:spacing w:after="60"/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f)</w:t>
      </w:r>
      <w:r w:rsidRPr="00C42687">
        <w:rPr>
          <w:rFonts w:ascii="Verdana" w:hAnsi="Verdana"/>
          <w:sz w:val="18"/>
          <w:szCs w:val="18"/>
        </w:rPr>
        <w:t xml:space="preserve"> l'articolo 3</w:t>
      </w:r>
      <w:r w:rsidR="00A05213">
        <w:rPr>
          <w:rFonts w:ascii="Verdana" w:hAnsi="Verdana"/>
          <w:sz w:val="18"/>
          <w:szCs w:val="18"/>
        </w:rPr>
        <w:t>6 è</w:t>
      </w:r>
      <w:r w:rsidRPr="00C42687">
        <w:rPr>
          <w:rFonts w:ascii="Verdana" w:hAnsi="Verdana"/>
          <w:sz w:val="18"/>
          <w:szCs w:val="18"/>
        </w:rPr>
        <w:t xml:space="preserve"> abrogato;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476C7">
        <w:rPr>
          <w:rFonts w:ascii="Verdana" w:hAnsi="Verdana"/>
          <w:i/>
          <w:sz w:val="18"/>
          <w:szCs w:val="18"/>
        </w:rPr>
        <w:t>g)</w:t>
      </w:r>
      <w:r w:rsidR="00A05213">
        <w:rPr>
          <w:rFonts w:ascii="Verdana" w:hAnsi="Verdana"/>
          <w:sz w:val="18"/>
          <w:szCs w:val="18"/>
        </w:rPr>
        <w:t xml:space="preserve"> l'articolo 37 è</w:t>
      </w:r>
      <w:r w:rsidRPr="00C42687">
        <w:rPr>
          <w:rFonts w:ascii="Verdana" w:hAnsi="Verdana"/>
          <w:sz w:val="18"/>
          <w:szCs w:val="18"/>
        </w:rPr>
        <w:t xml:space="preserve"> abrogato.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9.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Numero dei rappresentanti italiani al Parlamento europeo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="00A05213">
        <w:rPr>
          <w:rFonts w:ascii="Verdana" w:hAnsi="Verdana"/>
          <w:sz w:val="18"/>
          <w:szCs w:val="18"/>
        </w:rPr>
        <w:t>È</w:t>
      </w:r>
      <w:r w:rsidRPr="00C42687">
        <w:rPr>
          <w:rFonts w:ascii="Verdana" w:hAnsi="Verdana"/>
          <w:sz w:val="18"/>
          <w:szCs w:val="18"/>
        </w:rPr>
        <w:t xml:space="preserve"> approvata la decisione del Consiglio delle Comunit</w:t>
      </w:r>
      <w:r w:rsidR="00A05213">
        <w:rPr>
          <w:rFonts w:ascii="Verdana" w:hAnsi="Verdana"/>
          <w:sz w:val="18"/>
          <w:szCs w:val="18"/>
        </w:rPr>
        <w:t>à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febbraio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1993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recante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modifiche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dell'atto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elezioni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rappresentanti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suffragio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universale diretto</w:t>
      </w:r>
      <w:r w:rsidR="006169FD">
        <w:rPr>
          <w:rStyle w:val="Rimandonotaapidipagina"/>
          <w:rFonts w:ascii="Verdana" w:hAnsi="Verdana"/>
          <w:sz w:val="18"/>
          <w:szCs w:val="18"/>
        </w:rPr>
        <w:footnoteReference w:id="3"/>
      </w:r>
      <w:r w:rsidRPr="00C42687">
        <w:rPr>
          <w:rFonts w:ascii="Verdana" w:hAnsi="Verdana"/>
          <w:sz w:val="18"/>
          <w:szCs w:val="18"/>
        </w:rPr>
        <w:t>. Conseguentemente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numero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rappresentanti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italiani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="00A05213">
        <w:rPr>
          <w:rFonts w:ascii="Verdana" w:hAnsi="Verdana"/>
          <w:sz w:val="18"/>
          <w:szCs w:val="18"/>
        </w:rPr>
        <w:t>è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elevato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ottantuno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ottantasette</w:t>
      </w:r>
      <w:r w:rsidR="006169FD">
        <w:rPr>
          <w:rStyle w:val="Rimandonotaapidipagina"/>
          <w:rFonts w:ascii="Verdana" w:hAnsi="Verdana"/>
          <w:sz w:val="18"/>
          <w:szCs w:val="18"/>
        </w:rPr>
        <w:footnoteReference w:id="4"/>
      </w:r>
      <w:r w:rsidRPr="00C42687">
        <w:rPr>
          <w:rFonts w:ascii="Verdana" w:hAnsi="Verdana"/>
          <w:sz w:val="18"/>
          <w:szCs w:val="18"/>
        </w:rPr>
        <w:t xml:space="preserve">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1-bis.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Ai maggiori oneri derivanti dall'attuazione 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comma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valutati in lire 650 milioni per il 1994 e in lire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1.100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milioni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decorrere dal 1995, si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provvede,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1994,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nell'ambito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stanziamenti di cui all'articolo 10, comma 1; per il 1995 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1996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mediante corrispondente riduzione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stanziamento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iscritto,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fini del bilancio triennale 1994-1996, al capitolo 6856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stato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tesoro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1994,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all'uopo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parzialmente utilizzando l'accantonamento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relativo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Presidenza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 Consiglio dei Ministri per cia</w:t>
      </w:r>
      <w:r w:rsidR="00B476C7">
        <w:rPr>
          <w:rFonts w:ascii="Verdana" w:hAnsi="Verdana"/>
          <w:sz w:val="18"/>
          <w:szCs w:val="18"/>
        </w:rPr>
        <w:t>scuno degli anni 1995 e 1996.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lastRenderedPageBreak/>
        <w:t xml:space="preserve">Art. 10.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Disposizioni finanziarie </w:t>
      </w:r>
    </w:p>
    <w:p w:rsidR="00C42687" w:rsidRPr="00C42687" w:rsidRDefault="00C42687" w:rsidP="006169FD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All'onere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derivante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dall'attuazione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decreto,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valutato in lire 28.500 milioni, si provvede mediante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corrispondente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riduzione dello stanziamento iscritto al capitolo 6856 dello stato di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previsione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tesoro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1994,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all'uopo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parzialmente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utilizzando,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15.000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milioni,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l'accantonamento relativo alla Presidenza del Consiglio dei Ministri,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quanto a lire 8.500 milioni, l'accantonamento relativo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Ministero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 tesoro e, quanto a lire 5.000 milioni, l'accantonamento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relativo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al Ministero degli affari esteri.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2.</w:t>
      </w:r>
      <w:r w:rsidR="00B476C7">
        <w:rPr>
          <w:rFonts w:ascii="Verdana" w:hAnsi="Verdana"/>
          <w:sz w:val="18"/>
          <w:szCs w:val="18"/>
        </w:rPr>
        <w:tab/>
      </w:r>
      <w:r w:rsidR="00A05213">
        <w:rPr>
          <w:rFonts w:ascii="Verdana" w:hAnsi="Verdana"/>
          <w:sz w:val="18"/>
          <w:szCs w:val="18"/>
        </w:rPr>
        <w:t>Il Ministro del tesoro è</w:t>
      </w:r>
      <w:r w:rsidRPr="00C42687">
        <w:rPr>
          <w:rFonts w:ascii="Verdana" w:hAnsi="Verdana"/>
          <w:sz w:val="18"/>
          <w:szCs w:val="18"/>
        </w:rPr>
        <w:t xml:space="preserve"> autorizzato ad apportare,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propri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decreti, le occorrenti variazioni di bilancio. </w:t>
      </w: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C42687" w:rsidRPr="006169FD" w:rsidRDefault="00C42687" w:rsidP="006169FD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Art. 11. </w:t>
      </w:r>
      <w:r w:rsidR="00B476C7" w:rsidRPr="006169FD">
        <w:rPr>
          <w:rFonts w:ascii="Verdana" w:hAnsi="Verdana" w:cs="Arial"/>
          <w:b/>
          <w:color w:val="1F497D" w:themeColor="text2"/>
          <w:sz w:val="18"/>
          <w:szCs w:val="18"/>
        </w:rPr>
        <w:t>-</w:t>
      </w:r>
      <w:r w:rsidRPr="006169FD">
        <w:rPr>
          <w:rFonts w:ascii="Verdana" w:hAnsi="Verdana" w:cs="Arial"/>
          <w:b/>
          <w:color w:val="1F497D" w:themeColor="text2"/>
          <w:sz w:val="18"/>
          <w:szCs w:val="18"/>
        </w:rPr>
        <w:t xml:space="preserve"> Entrata in vigore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1.</w:t>
      </w:r>
      <w:r w:rsidR="00B476C7">
        <w:rPr>
          <w:rFonts w:ascii="Verdana" w:hAnsi="Verdana"/>
          <w:sz w:val="18"/>
          <w:szCs w:val="18"/>
        </w:rPr>
        <w:tab/>
      </w:r>
      <w:r w:rsidRPr="00C42687">
        <w:rPr>
          <w:rFonts w:ascii="Verdana" w:hAnsi="Verdana"/>
          <w:sz w:val="18"/>
          <w:szCs w:val="18"/>
        </w:rPr>
        <w:t>Il presente decreto entra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vigore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giorno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sua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pubblicazione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Gazzetta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Repubblica italiana e sar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presentato alle Camere per la conversione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in legge.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Il presente decreto, munito del sigillo dello Stato, sar</w:t>
      </w:r>
      <w:r w:rsidR="00A05213">
        <w:rPr>
          <w:rFonts w:ascii="Verdana" w:hAnsi="Verdana"/>
          <w:sz w:val="18"/>
          <w:szCs w:val="18"/>
        </w:rPr>
        <w:t>à</w:t>
      </w:r>
      <w:r w:rsidRPr="00C42687">
        <w:rPr>
          <w:rFonts w:ascii="Verdana" w:hAnsi="Verdana"/>
          <w:sz w:val="18"/>
          <w:szCs w:val="18"/>
        </w:rPr>
        <w:t xml:space="preserve"> inserito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ufficiale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degli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atti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normativi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>Repubblica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italiana. </w:t>
      </w:r>
      <w:r w:rsidR="00A05213">
        <w:rPr>
          <w:rFonts w:ascii="Verdana" w:hAnsi="Verdana"/>
          <w:sz w:val="18"/>
          <w:szCs w:val="18"/>
        </w:rPr>
        <w:t xml:space="preserve">È </w:t>
      </w:r>
      <w:r w:rsidRPr="00C42687">
        <w:rPr>
          <w:rFonts w:ascii="Verdana" w:hAnsi="Verdana"/>
          <w:sz w:val="18"/>
          <w:szCs w:val="18"/>
        </w:rPr>
        <w:t>fatto obbligo a chiunque spetti di osservarlo e di farlo</w:t>
      </w:r>
      <w:r w:rsidR="00B476C7">
        <w:rPr>
          <w:rFonts w:ascii="Verdana" w:hAnsi="Verdana"/>
          <w:sz w:val="18"/>
          <w:szCs w:val="18"/>
        </w:rPr>
        <w:t xml:space="preserve"> </w:t>
      </w:r>
      <w:r w:rsidRPr="00C42687">
        <w:rPr>
          <w:rFonts w:ascii="Verdana" w:hAnsi="Verdana"/>
          <w:sz w:val="18"/>
          <w:szCs w:val="18"/>
        </w:rPr>
        <w:t xml:space="preserve">osservare. </w:t>
      </w:r>
    </w:p>
    <w:p w:rsidR="00C42687" w:rsidRPr="00C42687" w:rsidRDefault="00B476C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 w:rsidR="006169FD">
        <w:rPr>
          <w:rFonts w:ascii="Verdana" w:hAnsi="Verdana"/>
          <w:sz w:val="18"/>
          <w:szCs w:val="18"/>
        </w:rPr>
        <w:t>Dato a Roma, addì</w:t>
      </w:r>
      <w:r w:rsidR="00C42687" w:rsidRPr="00C42687">
        <w:rPr>
          <w:rFonts w:ascii="Verdana" w:hAnsi="Verdana"/>
          <w:sz w:val="18"/>
          <w:szCs w:val="18"/>
        </w:rPr>
        <w:t xml:space="preserve"> 24 giugno 1994 </w:t>
      </w:r>
    </w:p>
    <w:p w:rsidR="00C42687" w:rsidRPr="00C42687" w:rsidRDefault="00C42687" w:rsidP="00A3712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SCALFARO </w:t>
      </w:r>
    </w:p>
    <w:p w:rsidR="00C42687" w:rsidRPr="00C42687" w:rsidRDefault="00C42687" w:rsidP="00A3712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BERLUSCONI, Presidente del Consiglio dei Ministri </w:t>
      </w:r>
    </w:p>
    <w:p w:rsidR="00C42687" w:rsidRPr="00C42687" w:rsidRDefault="00C42687" w:rsidP="00A3712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MARONI, Ministro dell'interno </w:t>
      </w:r>
    </w:p>
    <w:p w:rsidR="00C42687" w:rsidRPr="00C42687" w:rsidRDefault="00C42687" w:rsidP="00A3712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COMINO, Ministro per il coordinamento delle politiche dell'Unione europea </w:t>
      </w:r>
    </w:p>
    <w:p w:rsidR="00C42687" w:rsidRPr="00C42687" w:rsidRDefault="00C42687" w:rsidP="00A3712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SPERONI, Ministro per le riforme istituzionali </w:t>
      </w:r>
    </w:p>
    <w:p w:rsidR="00C42687" w:rsidRPr="00C42687" w:rsidRDefault="00C42687" w:rsidP="00A3712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MARTINO, Ministro degli affari esteri </w:t>
      </w:r>
    </w:p>
    <w:p w:rsidR="00C42687" w:rsidRPr="00C42687" w:rsidRDefault="00C42687" w:rsidP="00A37127">
      <w:pPr>
        <w:tabs>
          <w:tab w:val="left" w:pos="426"/>
        </w:tabs>
        <w:spacing w:after="120"/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DINI, Ministro del tesoro </w:t>
      </w:r>
    </w:p>
    <w:p w:rsidR="00C42687" w:rsidRPr="00C42687" w:rsidRDefault="00C42687" w:rsidP="00B476C7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 xml:space="preserve">PAGLIARINI, Ministro del bilancio e della programmazione economica </w:t>
      </w:r>
    </w:p>
    <w:p w:rsidR="00C42687" w:rsidRPr="00C42687" w:rsidRDefault="00C42687" w:rsidP="00C42687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C42687">
        <w:rPr>
          <w:rFonts w:ascii="Verdana" w:hAnsi="Verdana"/>
          <w:sz w:val="18"/>
          <w:szCs w:val="18"/>
        </w:rPr>
        <w:t>V</w:t>
      </w:r>
      <w:r w:rsidR="00B476C7">
        <w:rPr>
          <w:rFonts w:ascii="Verdana" w:hAnsi="Verdana"/>
          <w:sz w:val="18"/>
          <w:szCs w:val="18"/>
        </w:rPr>
        <w:t>isto, il Guardasigilli: BIONDI</w:t>
      </w:r>
    </w:p>
    <w:sectPr w:rsidR="00C42687" w:rsidRPr="00C42687" w:rsidSect="007467F1">
      <w:headerReference w:type="default" r:id="rId8"/>
      <w:pgSz w:w="11906" w:h="16838"/>
      <w:pgMar w:top="1418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9FD" w:rsidRDefault="006169FD" w:rsidP="006169FD">
      <w:pPr>
        <w:spacing w:after="0" w:line="240" w:lineRule="auto"/>
      </w:pPr>
      <w:r>
        <w:separator/>
      </w:r>
    </w:p>
  </w:endnote>
  <w:endnote w:type="continuationSeparator" w:id="0">
    <w:p w:rsidR="006169FD" w:rsidRDefault="006169FD" w:rsidP="006169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9FD" w:rsidRDefault="006169FD" w:rsidP="006169FD">
      <w:pPr>
        <w:spacing w:after="0" w:line="240" w:lineRule="auto"/>
      </w:pPr>
      <w:r>
        <w:separator/>
      </w:r>
    </w:p>
  </w:footnote>
  <w:footnote w:type="continuationSeparator" w:id="0">
    <w:p w:rsidR="006169FD" w:rsidRDefault="006169FD" w:rsidP="006169FD">
      <w:pPr>
        <w:spacing w:after="0" w:line="240" w:lineRule="auto"/>
      </w:pPr>
      <w:r>
        <w:continuationSeparator/>
      </w:r>
    </w:p>
  </w:footnote>
  <w:footnote w:id="1">
    <w:p w:rsidR="006169FD" w:rsidRPr="006169FD" w:rsidRDefault="006169FD" w:rsidP="006169F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6169FD">
        <w:rPr>
          <w:rStyle w:val="Rimandonotaapidipagina"/>
          <w:rFonts w:ascii="Verdana" w:hAnsi="Verdana"/>
          <w:sz w:val="16"/>
          <w:szCs w:val="16"/>
        </w:rPr>
        <w:footnoteRef/>
      </w:r>
      <w:r w:rsidRPr="006169FD">
        <w:rPr>
          <w:rFonts w:ascii="Verdana" w:hAnsi="Verdana"/>
          <w:sz w:val="16"/>
          <w:szCs w:val="16"/>
        </w:rPr>
        <w:t xml:space="preserve"> Decreto-Legge convertito con modificazioni dalla L. 03 agosto 1994, n. 483.</w:t>
      </w:r>
    </w:p>
  </w:footnote>
  <w:footnote w:id="2">
    <w:p w:rsidR="006169FD" w:rsidRPr="006169FD" w:rsidRDefault="006169FD" w:rsidP="006169F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6169FD">
        <w:rPr>
          <w:rStyle w:val="Rimandonotaapidipagina"/>
          <w:rFonts w:ascii="Verdana" w:hAnsi="Verdana"/>
          <w:sz w:val="16"/>
          <w:szCs w:val="16"/>
        </w:rPr>
        <w:footnoteRef/>
      </w:r>
      <w:r w:rsidRPr="006169FD">
        <w:rPr>
          <w:rFonts w:ascii="Verdana" w:hAnsi="Verdana"/>
          <w:sz w:val="16"/>
          <w:szCs w:val="16"/>
        </w:rPr>
        <w:t xml:space="preserve"> Il numero massimo di elettori assegnabili ad ognuna delle sezioni di cui al presente comma, originariamente previsto in 1.600, è stato stabilito in 3.000 dal comma 17-bis dell'art. 2 del decreto-legge 27 gennaio 2009, n. 3, convertito, con modificazioni dalla legge n. 26 del 25 marzo 2009.</w:t>
      </w:r>
    </w:p>
  </w:footnote>
  <w:footnote w:id="3">
    <w:p w:rsidR="006169FD" w:rsidRPr="006169FD" w:rsidRDefault="006169FD" w:rsidP="006169F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6169FD">
        <w:rPr>
          <w:rStyle w:val="Rimandonotaapidipagina"/>
          <w:rFonts w:ascii="Verdana" w:hAnsi="Verdana"/>
          <w:sz w:val="16"/>
          <w:szCs w:val="16"/>
        </w:rPr>
        <w:footnoteRef/>
      </w:r>
      <w:r w:rsidRPr="006169FD">
        <w:rPr>
          <w:rFonts w:ascii="Verdana" w:hAnsi="Verdana"/>
          <w:sz w:val="16"/>
          <w:szCs w:val="16"/>
        </w:rPr>
        <w:t xml:space="preserve"> Il riferimento ai «rappresentanti italiani al Parlamento europeo» deve intendersi sostituito con quello ai « membri del Parlamento europeo spettanti all’Italia», ai sensi di quanto disposto dall’art. 2, comma 3, della legge 27 marzo 2004, n. 78.</w:t>
      </w:r>
    </w:p>
  </w:footnote>
  <w:footnote w:id="4">
    <w:p w:rsidR="006169FD" w:rsidRPr="006169FD" w:rsidRDefault="006169FD" w:rsidP="006169FD">
      <w:pPr>
        <w:pStyle w:val="Testonotaapidipagina"/>
        <w:jc w:val="both"/>
        <w:rPr>
          <w:rFonts w:ascii="Verdana" w:hAnsi="Verdana"/>
          <w:sz w:val="16"/>
          <w:szCs w:val="16"/>
        </w:rPr>
      </w:pPr>
      <w:r w:rsidRPr="006169FD">
        <w:rPr>
          <w:rStyle w:val="Rimandonotaapidipagina"/>
          <w:rFonts w:ascii="Verdana" w:hAnsi="Verdana"/>
          <w:sz w:val="16"/>
          <w:szCs w:val="16"/>
        </w:rPr>
        <w:footnoteRef/>
      </w:r>
      <w:r w:rsidRPr="006169FD">
        <w:rPr>
          <w:rFonts w:ascii="Verdana" w:hAnsi="Verdana"/>
          <w:sz w:val="16"/>
          <w:szCs w:val="16"/>
        </w:rPr>
        <w:t xml:space="preserve"> Per il 2014, il numero dei seggi spettanti all’Italia è 73.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3505"/>
      <w:gridCol w:w="5108"/>
    </w:tblGrid>
    <w:tr w:rsidR="007467F1" w:rsidTr="00EE1AB0">
      <w:tc>
        <w:tcPr>
          <w:tcW w:w="3505" w:type="dxa"/>
          <w:vAlign w:val="center"/>
          <w:hideMark/>
        </w:tcPr>
        <w:p w:rsidR="007467F1" w:rsidRDefault="007467F1" w:rsidP="00EE1AB0">
          <w:pPr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1F7EE41C" wp14:editId="6201D37F">
                <wp:extent cx="2042160" cy="403860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2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8" w:type="dxa"/>
          <w:vAlign w:val="center"/>
          <w:hideMark/>
        </w:tcPr>
        <w:p w:rsidR="007467F1" w:rsidRDefault="007467F1" w:rsidP="00EE1AB0">
          <w:pPr>
            <w:jc w:val="right"/>
            <w:rPr>
              <w:rFonts w:ascii="Verdana" w:hAnsi="Verdana"/>
              <w:b/>
              <w:noProof/>
              <w:sz w:val="26"/>
              <w:szCs w:val="26"/>
              <w:lang w:eastAsia="it-IT"/>
            </w:rPr>
          </w:pPr>
          <w:r>
            <w:rPr>
              <w:rFonts w:ascii="Verdana" w:hAnsi="Verdana"/>
              <w:b/>
              <w:noProof/>
              <w:sz w:val="26"/>
              <w:szCs w:val="26"/>
              <w:lang w:eastAsia="it-IT"/>
            </w:rPr>
            <w:drawing>
              <wp:inline distT="0" distB="0" distL="0" distR="0" wp14:anchorId="7B1B9A5B" wp14:editId="6CFD927C">
                <wp:extent cx="739140" cy="624840"/>
                <wp:effectExtent l="0" t="0" r="3810" b="381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914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467F1" w:rsidRDefault="007467F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87"/>
    <w:rsid w:val="00586F2F"/>
    <w:rsid w:val="006169FD"/>
    <w:rsid w:val="007467F1"/>
    <w:rsid w:val="00A05213"/>
    <w:rsid w:val="00A37127"/>
    <w:rsid w:val="00B476C7"/>
    <w:rsid w:val="00C42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6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9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9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9F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46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7F1"/>
  </w:style>
  <w:style w:type="paragraph" w:styleId="Pidipagina">
    <w:name w:val="footer"/>
    <w:basedOn w:val="Normale"/>
    <w:link w:val="PidipaginaCarattere"/>
    <w:uiPriority w:val="99"/>
    <w:unhideWhenUsed/>
    <w:rsid w:val="00746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7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7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76C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169FD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169FD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169F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746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7F1"/>
  </w:style>
  <w:style w:type="paragraph" w:styleId="Pidipagina">
    <w:name w:val="footer"/>
    <w:basedOn w:val="Normale"/>
    <w:link w:val="PidipaginaCarattere"/>
    <w:uiPriority w:val="99"/>
    <w:unhideWhenUsed/>
    <w:rsid w:val="007467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7F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7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00140-7D6F-4F6F-BE06-6EB924764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3934</Words>
  <Characters>22427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3</cp:revision>
  <dcterms:created xsi:type="dcterms:W3CDTF">2018-01-08T10:27:00Z</dcterms:created>
  <dcterms:modified xsi:type="dcterms:W3CDTF">2018-01-08T17:35:00Z</dcterms:modified>
</cp:coreProperties>
</file>