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BE" w:rsidRPr="003C00BE" w:rsidRDefault="003C00BE" w:rsidP="003C00BE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3C00BE">
        <w:rPr>
          <w:rFonts w:ascii="Verdana" w:hAnsi="Verdana" w:cs="Arial"/>
          <w:b/>
          <w:color w:val="4E3F85"/>
          <w:sz w:val="20"/>
          <w:szCs w:val="20"/>
        </w:rPr>
        <w:t xml:space="preserve">DECRETO LEGISLATIVO 12 dicembre 2017, n. 189 </w:t>
      </w:r>
    </w:p>
    <w:p w:rsidR="003C00BE" w:rsidRPr="003C00BE" w:rsidRDefault="003C00BE" w:rsidP="003C00BE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3C00BE">
        <w:rPr>
          <w:rFonts w:ascii="Verdana" w:hAnsi="Verdana" w:cs="Arial"/>
          <w:sz w:val="20"/>
          <w:szCs w:val="20"/>
        </w:rPr>
        <w:t xml:space="preserve">Determinazione dei collegi elettorali della Camera dei deputati e del Senato della Repubblica, in attuazione dell'articolo 3 della legge 3 novembre 2017, n. 165, recante modifiche al sistema di elezione della Camera dei deputati e del Senato della Repubblica. Delega al Governo per la determinazione dei collegi elettorali uninominali e plurinominali. (17G00210) </w:t>
      </w:r>
    </w:p>
    <w:p w:rsidR="003C00BE" w:rsidRPr="003C00BE" w:rsidRDefault="003C00BE" w:rsidP="003C00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3C00BE" w:rsidRPr="003C00BE" w:rsidRDefault="003C00BE" w:rsidP="003C00BE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3C00BE">
        <w:rPr>
          <w:rFonts w:ascii="Verdana" w:hAnsi="Verdana"/>
          <w:sz w:val="18"/>
          <w:szCs w:val="18"/>
        </w:rPr>
        <w:t>IL PRESIDENTE DELLA REPUBBLICA</w:t>
      </w:r>
    </w:p>
    <w:p w:rsidR="003C00BE" w:rsidRPr="003C00BE" w:rsidRDefault="0058028A" w:rsidP="0058028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C00BE" w:rsidRPr="003C00BE">
        <w:rPr>
          <w:rFonts w:ascii="Verdana" w:hAnsi="Verdana"/>
          <w:sz w:val="18"/>
          <w:szCs w:val="18"/>
        </w:rPr>
        <w:t xml:space="preserve">Visti gli articoli 76 e 87, quinto comma, della Costituzione; </w:t>
      </w:r>
    </w:p>
    <w:p w:rsidR="003C00BE" w:rsidRPr="003C00BE" w:rsidRDefault="0058028A" w:rsidP="0058028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C00BE" w:rsidRPr="003C00BE">
        <w:rPr>
          <w:rFonts w:ascii="Verdana" w:hAnsi="Verdana"/>
          <w:sz w:val="18"/>
          <w:szCs w:val="18"/>
        </w:rPr>
        <w:t>Vista la legge 3 novembre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2017,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n.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165,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recante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«Modifiche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al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sistema di elezione della Camera dei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deputati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Senato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Repubblica. Delega al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Governo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per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determinazione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collegi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 xml:space="preserve">elettorali uninominali e plurinominali»; </w:t>
      </w:r>
    </w:p>
    <w:p w:rsidR="003C00BE" w:rsidRPr="003C00BE" w:rsidRDefault="0058028A" w:rsidP="0058028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C00BE" w:rsidRPr="003C00BE">
        <w:rPr>
          <w:rFonts w:ascii="Verdana" w:hAnsi="Verdana"/>
          <w:sz w:val="18"/>
          <w:szCs w:val="18"/>
        </w:rPr>
        <w:t>Visto l'articolo 3, commi 1 e 2,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citata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legge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3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novembre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2017, n. 165, che delegano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il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Governo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ad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adottare,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entro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trenta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giorni dalla data di entrata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in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vigore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medesima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legge,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un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decreto legislativo per la determinazione dei collegi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uninominali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dei collegi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plurinominali,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rispettivamente,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per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l'elezione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Camera dei deputati, nell'ambito di ciascuna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circoscrizione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cui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alla Tabella A allegata al decreto del Presidente della Repubblica n.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361 del 1957, come sostituita dalla stessa legge 3 novembre 2017,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n.</w:t>
      </w:r>
      <w:r w:rsidR="003C00BE">
        <w:rPr>
          <w:rFonts w:ascii="Verdana" w:hAnsi="Verdana"/>
          <w:sz w:val="18"/>
          <w:szCs w:val="18"/>
        </w:rPr>
        <w:t xml:space="preserve"> 165, nonché</w:t>
      </w:r>
      <w:r w:rsidR="003C00BE" w:rsidRPr="003C00BE">
        <w:rPr>
          <w:rFonts w:ascii="Verdana" w:hAnsi="Verdana"/>
          <w:sz w:val="18"/>
          <w:szCs w:val="18"/>
        </w:rPr>
        <w:t>, per l'elezione del Senato della Repubblica, nell'ambito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 xml:space="preserve">di ciascuna regione; </w:t>
      </w:r>
    </w:p>
    <w:p w:rsidR="003C00BE" w:rsidRPr="003C00BE" w:rsidRDefault="0058028A" w:rsidP="0058028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C00BE" w:rsidRPr="003C00BE">
        <w:rPr>
          <w:rFonts w:ascii="Verdana" w:hAnsi="Verdana"/>
          <w:sz w:val="18"/>
          <w:szCs w:val="18"/>
        </w:rPr>
        <w:t>Visto l'articolo 3, comma 1,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lettera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i/>
          <w:sz w:val="18"/>
          <w:szCs w:val="18"/>
        </w:rPr>
        <w:t>a)</w:t>
      </w:r>
      <w:r w:rsidR="003C00BE" w:rsidRPr="003C00BE">
        <w:rPr>
          <w:rFonts w:ascii="Verdana" w:hAnsi="Verdana"/>
          <w:sz w:val="18"/>
          <w:szCs w:val="18"/>
        </w:rPr>
        <w:t>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citata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legge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3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novembre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2017,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n.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165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che,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per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determinazione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collegi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uninominali della Camera dei deputati, al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primo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periodo,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fa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salvo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quanto stabilito per la circoscrizione Valle d'Aosta/ Vallee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d'Aoste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e, al secondo periodo, costituisce nelle circoscrizioni Trentino-Alto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Adige/Südtirol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Molise,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rispettivamente,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sei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due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collegi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uninominali, come territorialmente definiti dal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decreto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legislativo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20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dicembre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1993,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n.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535,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recante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determinazione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collegi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 xml:space="preserve">uninominali del Senato della Repubblica; </w:t>
      </w:r>
    </w:p>
    <w:p w:rsidR="003C00BE" w:rsidRPr="003C00BE" w:rsidRDefault="0058028A" w:rsidP="0058028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C00BE" w:rsidRPr="003C00BE">
        <w:rPr>
          <w:rFonts w:ascii="Verdana" w:hAnsi="Verdana"/>
          <w:sz w:val="18"/>
          <w:szCs w:val="18"/>
        </w:rPr>
        <w:t>Visto l'articolo 3, comma 1,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lettera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i/>
          <w:sz w:val="18"/>
          <w:szCs w:val="18"/>
        </w:rPr>
        <w:t>b)</w:t>
      </w:r>
      <w:r w:rsidR="003C00BE" w:rsidRPr="003C00BE">
        <w:rPr>
          <w:rFonts w:ascii="Verdana" w:hAnsi="Verdana"/>
          <w:sz w:val="18"/>
          <w:szCs w:val="18"/>
        </w:rPr>
        <w:t>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citata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legge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3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novembre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2017,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n.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165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che,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per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determinazione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collegi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plurinominali della Camera dei deputati, al primo periodo, esclude 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circoscrizione Valle d'Aosta/Vallee d'Aoste e assegna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al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Molise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un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seggio da attribuire con metodo proporzionale e, al secondo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periodo,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stabilisce che, nelle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circoscrizioni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Trentino-Alto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Adige/Südtirol,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Umbria,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Molise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Basilicata</w:t>
      </w:r>
      <w:r w:rsidR="003C00BE">
        <w:rPr>
          <w:rFonts w:ascii="Verdana" w:hAnsi="Verdana"/>
          <w:sz w:val="18"/>
          <w:szCs w:val="18"/>
        </w:rPr>
        <w:t xml:space="preserve"> è </w:t>
      </w:r>
      <w:r w:rsidR="003C00BE" w:rsidRPr="003C00BE">
        <w:rPr>
          <w:rFonts w:ascii="Verdana" w:hAnsi="Verdana"/>
          <w:sz w:val="18"/>
          <w:szCs w:val="18"/>
        </w:rPr>
        <w:t>costituito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un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unico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collegio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plurinominale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comprensivo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tutti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collegi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uninominali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 xml:space="preserve">circoscrizione; </w:t>
      </w:r>
    </w:p>
    <w:p w:rsidR="003C00BE" w:rsidRPr="003C00BE" w:rsidRDefault="0058028A" w:rsidP="0058028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C00BE" w:rsidRPr="003C00BE">
        <w:rPr>
          <w:rFonts w:ascii="Verdana" w:hAnsi="Verdana"/>
          <w:sz w:val="18"/>
          <w:szCs w:val="18"/>
        </w:rPr>
        <w:t>Visto l'articolo 3, comma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2,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lettera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i/>
          <w:sz w:val="18"/>
          <w:szCs w:val="18"/>
        </w:rPr>
        <w:t>a)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citata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legge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3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novembre 2017,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n.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165,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che,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per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determinazione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collegi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uninominali del Senato della Repubblica, al primo periodo,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fa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salvo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quanto stabilito per le circoscrizioni Valle d'Aosta/Vallee d'Aoste 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Trentino-Alto Adige/Südtirol e, al secondo periodo, stabilisce che il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 xml:space="preserve">territorio della Regione Molise </w:t>
      </w:r>
      <w:r w:rsidR="003C00BE">
        <w:rPr>
          <w:rFonts w:ascii="Verdana" w:hAnsi="Verdana"/>
          <w:sz w:val="18"/>
          <w:szCs w:val="18"/>
        </w:rPr>
        <w:t>è</w:t>
      </w:r>
      <w:r w:rsidR="003C00BE" w:rsidRPr="003C00BE">
        <w:rPr>
          <w:rFonts w:ascii="Verdana" w:hAnsi="Verdana"/>
          <w:sz w:val="18"/>
          <w:szCs w:val="18"/>
        </w:rPr>
        <w:t xml:space="preserve"> costituito in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un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unico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collegio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 xml:space="preserve">uninominale; </w:t>
      </w:r>
    </w:p>
    <w:p w:rsidR="003C00BE" w:rsidRPr="003C00BE" w:rsidRDefault="0058028A" w:rsidP="0058028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C00BE" w:rsidRPr="003C00BE">
        <w:rPr>
          <w:rFonts w:ascii="Verdana" w:hAnsi="Verdana"/>
          <w:sz w:val="18"/>
          <w:szCs w:val="18"/>
        </w:rPr>
        <w:t>Visto l'articolo 3, comma 2,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lettera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i/>
          <w:sz w:val="18"/>
          <w:szCs w:val="18"/>
        </w:rPr>
        <w:t>b)</w:t>
      </w:r>
      <w:r w:rsidR="003C00BE" w:rsidRPr="003C00BE">
        <w:rPr>
          <w:rFonts w:ascii="Verdana" w:hAnsi="Verdana"/>
          <w:sz w:val="18"/>
          <w:szCs w:val="18"/>
        </w:rPr>
        <w:t>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citata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legge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3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novembre 2017, n. 165, che esclude le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Regioni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Valle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d'Aosta/Vallee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d'Aoste 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Trentino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Alto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Adige/Südtirol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dalla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determinazione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 xml:space="preserve">collegi plurinominali del Senato della Repubblica; </w:t>
      </w:r>
    </w:p>
    <w:p w:rsidR="003C00BE" w:rsidRPr="003C00BE" w:rsidRDefault="0058028A" w:rsidP="0058028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C00BE" w:rsidRPr="003C00BE">
        <w:rPr>
          <w:rFonts w:ascii="Verdana" w:hAnsi="Verdana"/>
          <w:sz w:val="18"/>
          <w:szCs w:val="18"/>
        </w:rPr>
        <w:t>Visto l'articolo 14 della legge 23 agosto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1988,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n.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400,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recante</w:t>
      </w:r>
      <w:r w:rsidR="003C00BE">
        <w:rPr>
          <w:rFonts w:ascii="Verdana" w:hAnsi="Verdana"/>
          <w:sz w:val="18"/>
          <w:szCs w:val="18"/>
        </w:rPr>
        <w:t xml:space="preserve"> «Disciplina dell'attività</w:t>
      </w:r>
      <w:r w:rsidR="003C00BE" w:rsidRPr="003C00BE">
        <w:rPr>
          <w:rFonts w:ascii="Verdana" w:hAnsi="Verdana"/>
          <w:sz w:val="18"/>
          <w:szCs w:val="18"/>
        </w:rPr>
        <w:t xml:space="preserve"> di Governo e ordinamento della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Presidenza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 xml:space="preserve">del Consiglio dei ministri»; </w:t>
      </w:r>
    </w:p>
    <w:p w:rsidR="003C00BE" w:rsidRPr="003C00BE" w:rsidRDefault="0058028A" w:rsidP="0058028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C00BE" w:rsidRPr="003C00BE">
        <w:rPr>
          <w:rFonts w:ascii="Verdana" w:hAnsi="Verdana"/>
          <w:sz w:val="18"/>
          <w:szCs w:val="18"/>
        </w:rPr>
        <w:t>Vista la proposta presentata il 21 novembre 2017 dalla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Commissione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prevista dall'articolo 3, comma 3,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citata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legge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3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novembre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2017, n. 165, istituita con decreto del Presidente del Consigli</w:t>
      </w:r>
      <w:bookmarkStart w:id="0" w:name="_GoBack"/>
      <w:bookmarkEnd w:id="0"/>
      <w:r w:rsidR="003C00BE" w:rsidRPr="003C00BE">
        <w:rPr>
          <w:rFonts w:ascii="Verdana" w:hAnsi="Verdana"/>
          <w:sz w:val="18"/>
          <w:szCs w:val="18"/>
        </w:rPr>
        <w:t>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 xml:space="preserve">ministri 15 novembre 2017; </w:t>
      </w:r>
    </w:p>
    <w:p w:rsidR="003C00BE" w:rsidRPr="003C00BE" w:rsidRDefault="0058028A" w:rsidP="0058028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ab/>
      </w:r>
      <w:r w:rsidR="003C00BE" w:rsidRPr="003C00BE">
        <w:rPr>
          <w:rFonts w:ascii="Verdana" w:hAnsi="Verdana"/>
          <w:sz w:val="18"/>
          <w:szCs w:val="18"/>
        </w:rPr>
        <w:t>Vista la deliberazione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preliminare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Consiglio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ministri,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 xml:space="preserve">adottata nella riunione del 23 novembre 2017; </w:t>
      </w:r>
    </w:p>
    <w:p w:rsidR="003C00BE" w:rsidRPr="003C00BE" w:rsidRDefault="0058028A" w:rsidP="0058028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C00BE" w:rsidRPr="003C00BE">
        <w:rPr>
          <w:rFonts w:ascii="Verdana" w:hAnsi="Verdana"/>
          <w:sz w:val="18"/>
          <w:szCs w:val="18"/>
        </w:rPr>
        <w:t>Acquisiti i pareri delle competenti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commissioni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permanenti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Camera dei deputati e del Senato della Repubblica in data 7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dicembre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 xml:space="preserve">2017; </w:t>
      </w:r>
    </w:p>
    <w:p w:rsidR="003C00BE" w:rsidRPr="003C00BE" w:rsidRDefault="0058028A" w:rsidP="0058028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C00BE" w:rsidRPr="003C00BE">
        <w:rPr>
          <w:rFonts w:ascii="Verdana" w:hAnsi="Verdana"/>
          <w:sz w:val="18"/>
          <w:szCs w:val="18"/>
        </w:rPr>
        <w:t>Vista la deliberazione del Consiglio dei ministri,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adottata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 xml:space="preserve">riunione dell'11 dicembre 2017; </w:t>
      </w:r>
    </w:p>
    <w:p w:rsidR="003C00BE" w:rsidRPr="003C00BE" w:rsidRDefault="0058028A" w:rsidP="0058028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C00BE" w:rsidRPr="003C00BE">
        <w:rPr>
          <w:rFonts w:ascii="Verdana" w:hAnsi="Verdana"/>
          <w:sz w:val="18"/>
          <w:szCs w:val="18"/>
        </w:rPr>
        <w:t xml:space="preserve">Sulla proposta del Presidente del Consiglio dei ministri, </w:t>
      </w:r>
    </w:p>
    <w:p w:rsidR="003C00BE" w:rsidRDefault="003C00BE" w:rsidP="003C00B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</w:p>
    <w:p w:rsidR="003C00BE" w:rsidRPr="003148A3" w:rsidRDefault="003C00BE" w:rsidP="003C00BE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EMANA</w:t>
      </w:r>
    </w:p>
    <w:p w:rsidR="003C00BE" w:rsidRPr="003148A3" w:rsidRDefault="003C00BE" w:rsidP="003C00BE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seguente decreto legislativo:</w:t>
      </w:r>
    </w:p>
    <w:p w:rsidR="003C00BE" w:rsidRPr="003C00BE" w:rsidRDefault="003C00BE" w:rsidP="003C00BE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C00BE" w:rsidRPr="003C00BE" w:rsidRDefault="003C00BE" w:rsidP="003C00B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3C00BE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 Determinazione dei collegi uninominali e plurinominali della Camera dei deputati </w:t>
      </w:r>
    </w:p>
    <w:p w:rsidR="003C00BE" w:rsidRPr="003C00BE" w:rsidRDefault="003C00BE" w:rsidP="003C00B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C00B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3C00BE">
        <w:rPr>
          <w:rFonts w:ascii="Verdana" w:hAnsi="Verdana"/>
          <w:sz w:val="18"/>
          <w:szCs w:val="18"/>
        </w:rPr>
        <w:t>I collegi uninominali per l'elezione della Camera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sono determinati secondo quanto previsto dalla Tabella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A.1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allegata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 xml:space="preserve">al presente decreto legislativo. </w:t>
      </w:r>
    </w:p>
    <w:p w:rsidR="003C00BE" w:rsidRDefault="003C00BE" w:rsidP="003C00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C00B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3C00BE">
        <w:rPr>
          <w:rFonts w:ascii="Verdana" w:hAnsi="Verdana"/>
          <w:sz w:val="18"/>
          <w:szCs w:val="18"/>
        </w:rPr>
        <w:t>I plurinominali per l'elezione della Camera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determinati secondo quanto previsto dalla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Tabella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A.2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allegata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 xml:space="preserve">presente decreto legislativo. </w:t>
      </w:r>
    </w:p>
    <w:p w:rsidR="003C00BE" w:rsidRPr="003C00BE" w:rsidRDefault="003C00BE" w:rsidP="003C00BE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C00BE" w:rsidRPr="003C00BE" w:rsidRDefault="003C00BE" w:rsidP="003C00B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3C00BE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2 Determinazione dei collegi uninominali e plurinominali del Senato della Repubblica </w:t>
      </w:r>
    </w:p>
    <w:p w:rsidR="003C00BE" w:rsidRPr="003C00BE" w:rsidRDefault="003C00BE" w:rsidP="003C00B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C00B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3C00BE">
        <w:rPr>
          <w:rFonts w:ascii="Verdana" w:hAnsi="Verdana"/>
          <w:sz w:val="18"/>
          <w:szCs w:val="18"/>
        </w:rPr>
        <w:t>I collegi uninominali per l'elezione del Senato della Repubblica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sono determinati secondo quanto previsto dalla Tabella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B.1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allegata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 xml:space="preserve">al presente decreto legislativo. </w:t>
      </w:r>
    </w:p>
    <w:p w:rsidR="003C00BE" w:rsidRDefault="003C00BE" w:rsidP="003C00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C00B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3C00B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plurinominali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Repubblica sono determinati secondo quanto previsto dalla Tabella B.2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 xml:space="preserve">allegata al presente decreto legislativo. </w:t>
      </w:r>
    </w:p>
    <w:p w:rsidR="003C00BE" w:rsidRPr="003C00BE" w:rsidRDefault="003C00BE" w:rsidP="003C00BE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C00BE" w:rsidRPr="003C00BE" w:rsidRDefault="003C00BE" w:rsidP="003C00B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3C00BE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3 Istituzione di nuovi comuni, distacco di comuni da regioni e sezioni elettorali riguardanti più collegi </w:t>
      </w:r>
    </w:p>
    <w:p w:rsidR="003C00BE" w:rsidRPr="003C00BE" w:rsidRDefault="003C00BE" w:rsidP="003C00B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C00B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3C00BE">
        <w:rPr>
          <w:rFonts w:ascii="Verdana" w:hAnsi="Verdana"/>
          <w:sz w:val="18"/>
          <w:szCs w:val="18"/>
        </w:rPr>
        <w:t>Nel caso in cui, prima della convocazione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comizi,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vengano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istituiti nuovi comuni mediante fusione 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distacco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territoriale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comuni preesistenti ed i comuni di origine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facciano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più </w:t>
      </w:r>
      <w:r w:rsidRPr="003C00BE">
        <w:rPr>
          <w:rFonts w:ascii="Verdana" w:hAnsi="Verdana"/>
          <w:sz w:val="18"/>
          <w:szCs w:val="18"/>
        </w:rPr>
        <w:t>collegi uninominali o plurinominali, il comune di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nuova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istituzione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si intende assegnato al collegio uninominale o plurinominale nel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ambito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originario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insisteva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maggior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 xml:space="preserve">residente ora confluita nel nuovo comune. </w:t>
      </w:r>
    </w:p>
    <w:p w:rsidR="003C00BE" w:rsidRPr="003C00BE" w:rsidRDefault="003C00BE" w:rsidP="003C00B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C00B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3C00BE">
        <w:rPr>
          <w:rFonts w:ascii="Verdana" w:hAnsi="Verdana"/>
          <w:sz w:val="18"/>
          <w:szCs w:val="18"/>
        </w:rPr>
        <w:t>Nel caso in cui, prima della convocazione dei comizi, vi sia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distacco di un comune da una regione e l'aggregazione ad un'altra con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conseguente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mutamento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circoscrizione,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suddetto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intende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assegnato,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nell'ambito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nuova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circoscrizione,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plurinominale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uninominale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esso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territorialmente contigui.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più </w:t>
      </w:r>
      <w:r w:rsidRPr="003C00BE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territorialmente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contigui,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suddetto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intende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assegnato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uninominale nel cui ambito insiste il minore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 xml:space="preserve">residente. </w:t>
      </w:r>
    </w:p>
    <w:p w:rsidR="003C00BE" w:rsidRPr="003C00BE" w:rsidRDefault="003C00BE" w:rsidP="003C00BE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3C00BE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3C00BE">
        <w:rPr>
          <w:rFonts w:ascii="Verdana" w:hAnsi="Verdana"/>
          <w:sz w:val="18"/>
          <w:szCs w:val="18"/>
        </w:rPr>
        <w:t>Le sezioni</w:t>
      </w:r>
      <w:r>
        <w:rPr>
          <w:rFonts w:ascii="Verdana" w:hAnsi="Verdana"/>
          <w:sz w:val="18"/>
          <w:szCs w:val="18"/>
        </w:rPr>
        <w:t xml:space="preserve"> elettorali che interessano più</w:t>
      </w:r>
      <w:r w:rsidRPr="003C00BE">
        <w:rPr>
          <w:rFonts w:ascii="Verdana" w:hAnsi="Verdana"/>
          <w:sz w:val="18"/>
          <w:szCs w:val="18"/>
        </w:rPr>
        <w:t xml:space="preserve"> collegi uninominali 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plurinominali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intendono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assegnate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 w:cs="Arial"/>
          <w:sz w:val="18"/>
          <w:szCs w:val="18"/>
        </w:rPr>
        <w:t>collegio uninominale o plurinominale nella cui circoscrizione ha sede l'ufficio elettorale di sezione.</w:t>
      </w:r>
    </w:p>
    <w:p w:rsidR="003C00BE" w:rsidRPr="003C00BE" w:rsidRDefault="003C00BE" w:rsidP="003C00BE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8028A" w:rsidRDefault="0058028A">
      <w:pPr>
        <w:rPr>
          <w:rFonts w:ascii="Verdana" w:hAnsi="Verdana" w:cs="Arial"/>
          <w:b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color w:val="1F497D" w:themeColor="text2"/>
          <w:sz w:val="18"/>
          <w:szCs w:val="18"/>
        </w:rPr>
        <w:br w:type="page"/>
      </w:r>
    </w:p>
    <w:p w:rsidR="003C00BE" w:rsidRPr="003C00BE" w:rsidRDefault="003C00BE" w:rsidP="003C00B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3C00BE">
        <w:rPr>
          <w:rFonts w:ascii="Verdana" w:hAnsi="Verdana" w:cs="Arial"/>
          <w:b/>
          <w:color w:val="1F497D" w:themeColor="text2"/>
          <w:sz w:val="18"/>
          <w:szCs w:val="18"/>
        </w:rPr>
        <w:lastRenderedPageBreak/>
        <w:t xml:space="preserve">Art. 4 Abrogazione </w:t>
      </w:r>
    </w:p>
    <w:p w:rsidR="003C00BE" w:rsidRDefault="003C00BE" w:rsidP="003C00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C00B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3C00BE">
        <w:rPr>
          <w:rFonts w:ascii="Verdana" w:hAnsi="Verdana"/>
          <w:sz w:val="18"/>
          <w:szCs w:val="18"/>
        </w:rPr>
        <w:t>Il decreto legislativo 7 agosto 2015, n. 122 «Determinazione dei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collegi della Camera dei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deputati,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attuazione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della legge 6 maggio 2015, n. 52, recante disposizioni in materia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 xml:space="preserve">elezione della Camera dei deputati» </w:t>
      </w:r>
      <w:r>
        <w:rPr>
          <w:rFonts w:ascii="Verdana" w:hAnsi="Verdana"/>
          <w:sz w:val="18"/>
          <w:szCs w:val="18"/>
        </w:rPr>
        <w:t>è</w:t>
      </w:r>
      <w:r w:rsidRPr="003C00BE">
        <w:rPr>
          <w:rFonts w:ascii="Verdana" w:hAnsi="Verdana"/>
          <w:sz w:val="18"/>
          <w:szCs w:val="18"/>
        </w:rPr>
        <w:t xml:space="preserve"> abrogato. </w:t>
      </w:r>
    </w:p>
    <w:p w:rsidR="003C00BE" w:rsidRPr="003C00BE" w:rsidRDefault="003C00BE" w:rsidP="003C00BE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C00BE" w:rsidRPr="003C00BE" w:rsidRDefault="003C00BE" w:rsidP="003C00B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3C00BE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5 Clausola di neutralità finanziaria </w:t>
      </w:r>
    </w:p>
    <w:p w:rsidR="003C00BE" w:rsidRPr="003C00BE" w:rsidRDefault="003C00BE" w:rsidP="003C00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C00B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3C00BE">
        <w:rPr>
          <w:rFonts w:ascii="Verdana" w:hAnsi="Verdana"/>
          <w:sz w:val="18"/>
          <w:szCs w:val="18"/>
        </w:rPr>
        <w:t>Dall'attuazione del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 xml:space="preserve">derivare nuovi o maggiori oneri per la finanza pubblica. </w:t>
      </w:r>
    </w:p>
    <w:p w:rsidR="003C00BE" w:rsidRPr="003C00BE" w:rsidRDefault="003C00BE" w:rsidP="003C00BE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C00BE" w:rsidRPr="003C00BE" w:rsidRDefault="003C00BE" w:rsidP="003C00B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3C00BE">
        <w:rPr>
          <w:rFonts w:ascii="Verdana" w:hAnsi="Verdana" w:cs="Arial"/>
          <w:b/>
          <w:color w:val="1F497D" w:themeColor="text2"/>
          <w:sz w:val="18"/>
          <w:szCs w:val="18"/>
        </w:rPr>
        <w:t>Art. 6 Entrata in vigore</w:t>
      </w:r>
    </w:p>
    <w:p w:rsidR="003C00BE" w:rsidRPr="003C00BE" w:rsidRDefault="003C00BE" w:rsidP="003C00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3C00BE">
        <w:rPr>
          <w:rFonts w:ascii="Verdana" w:hAnsi="Verdana"/>
          <w:sz w:val="18"/>
          <w:szCs w:val="18"/>
        </w:rPr>
        <w:t>Il presente decreto entra in vigore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Repubblica italiana.</w:t>
      </w:r>
    </w:p>
    <w:p w:rsidR="003C00BE" w:rsidRPr="00BA1438" w:rsidRDefault="003C00BE" w:rsidP="003C00B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3C00BE" w:rsidRDefault="003C00BE" w:rsidP="003C00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124B6">
        <w:rPr>
          <w:rFonts w:ascii="Verdana" w:hAnsi="Verdana"/>
          <w:sz w:val="18"/>
          <w:szCs w:val="18"/>
        </w:rPr>
        <w:t>Il presente decreto, munito</w:t>
      </w:r>
      <w:r>
        <w:rPr>
          <w:rFonts w:ascii="Verdana" w:hAnsi="Verdana"/>
          <w:sz w:val="18"/>
          <w:szCs w:val="18"/>
        </w:rPr>
        <w:t xml:space="preserve"> del sigillo dello Stato, sarà</w:t>
      </w:r>
      <w:r w:rsidRPr="00D124B6">
        <w:rPr>
          <w:rFonts w:ascii="Verdana" w:hAnsi="Verdana"/>
          <w:sz w:val="18"/>
          <w:szCs w:val="18"/>
        </w:rPr>
        <w:t xml:space="preserve"> inser</w:t>
      </w:r>
      <w:r>
        <w:rPr>
          <w:rFonts w:ascii="Verdana" w:hAnsi="Verdana"/>
          <w:sz w:val="18"/>
          <w:szCs w:val="18"/>
        </w:rPr>
        <w:t>i</w:t>
      </w:r>
      <w:r w:rsidRPr="00D124B6">
        <w:rPr>
          <w:rFonts w:ascii="Verdana" w:hAnsi="Verdana"/>
          <w:sz w:val="18"/>
          <w:szCs w:val="18"/>
        </w:rPr>
        <w:t>to</w:t>
      </w:r>
      <w:r>
        <w:rPr>
          <w:rFonts w:ascii="Verdana" w:hAnsi="Verdana"/>
          <w:sz w:val="18"/>
          <w:szCs w:val="18"/>
        </w:rPr>
        <w:t xml:space="preserve"> </w:t>
      </w:r>
      <w:r w:rsidRPr="00D124B6">
        <w:rPr>
          <w:rFonts w:ascii="Verdana" w:hAnsi="Verdana"/>
          <w:sz w:val="18"/>
          <w:szCs w:val="18"/>
        </w:rPr>
        <w:t xml:space="preserve">nella Raccolta ufficiale </w:t>
      </w:r>
      <w:r>
        <w:rPr>
          <w:rFonts w:ascii="Verdana" w:hAnsi="Verdana"/>
          <w:sz w:val="18"/>
          <w:szCs w:val="18"/>
        </w:rPr>
        <w:t xml:space="preserve">degli atti normativi </w:t>
      </w:r>
      <w:r w:rsidRPr="00D124B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D124B6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D124B6">
        <w:rPr>
          <w:rFonts w:ascii="Verdana" w:hAnsi="Verdana"/>
          <w:sz w:val="18"/>
          <w:szCs w:val="18"/>
        </w:rPr>
        <w:t xml:space="preserve">italiana. </w:t>
      </w:r>
      <w:r>
        <w:rPr>
          <w:rFonts w:ascii="Verdana" w:hAnsi="Verdana"/>
          <w:sz w:val="18"/>
          <w:szCs w:val="18"/>
        </w:rPr>
        <w:t xml:space="preserve">È </w:t>
      </w:r>
      <w:r w:rsidRPr="00D124B6">
        <w:rPr>
          <w:rFonts w:ascii="Verdana" w:hAnsi="Verdana"/>
          <w:sz w:val="18"/>
          <w:szCs w:val="18"/>
        </w:rPr>
        <w:t>fatto obbligo a chiunque spetti di osservarlo e di farlo</w:t>
      </w:r>
      <w:r>
        <w:rPr>
          <w:rFonts w:ascii="Verdana" w:hAnsi="Verdana"/>
          <w:sz w:val="18"/>
          <w:szCs w:val="18"/>
        </w:rPr>
        <w:t xml:space="preserve"> </w:t>
      </w:r>
      <w:r w:rsidRPr="00D124B6">
        <w:rPr>
          <w:rFonts w:ascii="Verdana" w:hAnsi="Verdana"/>
          <w:sz w:val="18"/>
          <w:szCs w:val="18"/>
        </w:rPr>
        <w:t>osservare.</w:t>
      </w:r>
    </w:p>
    <w:p w:rsidR="003C00BE" w:rsidRPr="00C81D79" w:rsidRDefault="003C00BE" w:rsidP="003C00BE">
      <w:pPr>
        <w:tabs>
          <w:tab w:val="left" w:pos="426"/>
        </w:tabs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  <w:t>Dato a Roma, addì</w:t>
      </w:r>
      <w:r w:rsidRPr="0049169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12 dicembre 2017</w:t>
      </w:r>
    </w:p>
    <w:p w:rsidR="003C00BE" w:rsidRPr="0049169B" w:rsidRDefault="003C00BE" w:rsidP="003C00BE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MATTARELLA</w:t>
      </w:r>
    </w:p>
    <w:p w:rsidR="003C00BE" w:rsidRDefault="003C00BE" w:rsidP="003C00BE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Gentiloni Silveri, Presidente del Consiglio dei ministri</w:t>
      </w:r>
    </w:p>
    <w:p w:rsidR="003C00BE" w:rsidRPr="0049169B" w:rsidRDefault="003C00BE" w:rsidP="003C00BE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</w:p>
    <w:p w:rsidR="003C00BE" w:rsidRPr="0049169B" w:rsidRDefault="003C00BE" w:rsidP="003C00B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9169B">
        <w:rPr>
          <w:rFonts w:ascii="Verdana" w:hAnsi="Verdana"/>
          <w:sz w:val="18"/>
          <w:szCs w:val="18"/>
        </w:rPr>
        <w:t xml:space="preserve">Visto, il Guardasigilli: </w:t>
      </w:r>
      <w:r>
        <w:rPr>
          <w:rFonts w:ascii="Verdana" w:hAnsi="Verdana"/>
          <w:sz w:val="18"/>
          <w:szCs w:val="18"/>
        </w:rPr>
        <w:t>Orlando</w:t>
      </w:r>
    </w:p>
    <w:sectPr w:rsidR="003C00BE" w:rsidRPr="0049169B" w:rsidSect="003C00BE">
      <w:headerReference w:type="default" r:id="rId7"/>
      <w:foot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8A" w:rsidRDefault="0058028A" w:rsidP="0058028A">
      <w:pPr>
        <w:spacing w:after="0" w:line="240" w:lineRule="auto"/>
      </w:pPr>
      <w:r>
        <w:separator/>
      </w:r>
    </w:p>
  </w:endnote>
  <w:endnote w:type="continuationSeparator" w:id="0">
    <w:p w:rsidR="0058028A" w:rsidRDefault="0058028A" w:rsidP="0058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E1" w:rsidRPr="00614FE1" w:rsidRDefault="00614FE1" w:rsidP="00614FE1">
    <w:pPr>
      <w:pStyle w:val="Pidipagina"/>
      <w:tabs>
        <w:tab w:val="right" w:pos="8505"/>
      </w:tabs>
      <w:rPr>
        <w:rFonts w:ascii="Verdana" w:hAnsi="Verdana"/>
        <w:i/>
        <w:sz w:val="17"/>
        <w:szCs w:val="17"/>
      </w:rPr>
    </w:pPr>
    <w:r>
      <w:rPr>
        <w:rFonts w:ascii="Verdana" w:hAnsi="Verdana"/>
        <w:i/>
        <w:sz w:val="17"/>
        <w:szCs w:val="17"/>
      </w:rPr>
      <w:t>Ultimo aggiornamento: 24/08/2018</w:t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fldChar w:fldCharType="begin"/>
    </w:r>
    <w:r>
      <w:rPr>
        <w:rFonts w:ascii="Verdana" w:hAnsi="Verdana"/>
        <w:i/>
        <w:sz w:val="17"/>
        <w:szCs w:val="17"/>
      </w:rPr>
      <w:instrText>PAGE   \* MERGEFORMAT</w:instrText>
    </w:r>
    <w:r>
      <w:rPr>
        <w:rFonts w:ascii="Verdana" w:hAnsi="Verdana"/>
        <w:i/>
        <w:sz w:val="17"/>
        <w:szCs w:val="17"/>
      </w:rPr>
      <w:fldChar w:fldCharType="separate"/>
    </w:r>
    <w:r>
      <w:rPr>
        <w:rFonts w:ascii="Verdana" w:hAnsi="Verdana"/>
        <w:i/>
        <w:noProof/>
        <w:sz w:val="17"/>
        <w:szCs w:val="17"/>
      </w:rPr>
      <w:t>3</w:t>
    </w:r>
    <w:r>
      <w:rPr>
        <w:rFonts w:ascii="Verdana" w:hAnsi="Verdana"/>
        <w:i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8A" w:rsidRDefault="0058028A" w:rsidP="0058028A">
      <w:pPr>
        <w:spacing w:after="0" w:line="240" w:lineRule="auto"/>
      </w:pPr>
      <w:r>
        <w:separator/>
      </w:r>
    </w:p>
  </w:footnote>
  <w:footnote w:type="continuationSeparator" w:id="0">
    <w:p w:rsidR="0058028A" w:rsidRDefault="0058028A" w:rsidP="0058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58028A" w:rsidTr="002F49ED">
      <w:tc>
        <w:tcPr>
          <w:tcW w:w="3505" w:type="dxa"/>
          <w:shd w:val="clear" w:color="auto" w:fill="auto"/>
          <w:vAlign w:val="center"/>
        </w:tcPr>
        <w:p w:rsidR="0058028A" w:rsidRPr="00A47199" w:rsidRDefault="0058028A" w:rsidP="002F49ED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2CBC7F47" wp14:editId="566BA13B">
                <wp:extent cx="2042160" cy="403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:rsidR="0058028A" w:rsidRPr="00A47199" w:rsidRDefault="0058028A" w:rsidP="002F49ED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7A15377C" wp14:editId="1AFE9532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028A" w:rsidRDefault="0058028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1F"/>
    <w:rsid w:val="00231B32"/>
    <w:rsid w:val="003C00BE"/>
    <w:rsid w:val="0058028A"/>
    <w:rsid w:val="00614FE1"/>
    <w:rsid w:val="006C64F7"/>
    <w:rsid w:val="00BB391F"/>
    <w:rsid w:val="00C8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0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0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28A"/>
  </w:style>
  <w:style w:type="paragraph" w:styleId="Pidipagina">
    <w:name w:val="footer"/>
    <w:basedOn w:val="Normale"/>
    <w:link w:val="PidipaginaCarattere"/>
    <w:uiPriority w:val="99"/>
    <w:unhideWhenUsed/>
    <w:qFormat/>
    <w:rsid w:val="00580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2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0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0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28A"/>
  </w:style>
  <w:style w:type="paragraph" w:styleId="Pidipagina">
    <w:name w:val="footer"/>
    <w:basedOn w:val="Normale"/>
    <w:link w:val="PidipaginaCarattere"/>
    <w:uiPriority w:val="99"/>
    <w:unhideWhenUsed/>
    <w:qFormat/>
    <w:rsid w:val="00580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2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075">
          <w:marLeft w:val="6087"/>
          <w:marRight w:val="60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56521">
          <w:marLeft w:val="6153"/>
          <w:marRight w:val="6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176">
          <w:marLeft w:val="6260"/>
          <w:marRight w:val="6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2018-08-24T15:37:00Z</dcterms:created>
  <dcterms:modified xsi:type="dcterms:W3CDTF">2018-08-24T15:37:00Z</dcterms:modified>
</cp:coreProperties>
</file>