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0503B7">
        <w:rPr>
          <w:rFonts w:ascii="Verdana" w:hAnsi="Verdana"/>
          <w:b/>
          <w:color w:val="4E3F85"/>
          <w:sz w:val="20"/>
          <w:szCs w:val="20"/>
        </w:rPr>
        <w:t>DECRETO LEGISLATIVO 18 agosto 2000, n. 267</w:t>
      </w:r>
      <w:r w:rsidR="00B54802">
        <w:rPr>
          <w:rStyle w:val="Rimandonotaapidipagina"/>
          <w:rFonts w:ascii="Verdana" w:hAnsi="Verdana"/>
          <w:b/>
          <w:color w:val="4E3F85"/>
          <w:sz w:val="20"/>
          <w:szCs w:val="20"/>
        </w:rPr>
        <w:footnoteReference w:id="1"/>
      </w:r>
      <w:r w:rsidRPr="000503B7">
        <w:rPr>
          <w:rFonts w:ascii="Verdana" w:hAnsi="Verdana"/>
          <w:b/>
          <w:color w:val="4E3F85"/>
          <w:sz w:val="20"/>
          <w:szCs w:val="20"/>
        </w:rPr>
        <w:t xml:space="preserve"> 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503B7">
        <w:rPr>
          <w:rFonts w:ascii="Verdana" w:hAnsi="Verdana"/>
          <w:sz w:val="20"/>
          <w:szCs w:val="20"/>
        </w:rPr>
        <w:t>Testo unico delle leggi sull'ordinamento degli enti locali.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0503B7" w:rsidRDefault="000503B7" w:rsidP="000503B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IL PRESIDENTE DELLA REPUBBLICA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 xml:space="preserve">Visti gli articoli 76 e 87 della Costituzione;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 xml:space="preserve">Visto l'articolo 14 della legge 23 agosto 1988, n. 400;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Visto l'articolo 31 della legge 3 agosto 1999,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265,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delega al Governo per l'adozione di un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ordinamento degli enti locali;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Vista la preliminare deliberazione del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adottata nella riunione del 20 aprile 2000;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Acquisiti i pareri delle competenti Commissioni del Senato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Repubblica e della Camera dei Deputati;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Udito il parere del Consiglio di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espresso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nell'adunanza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generale dell'8 giugno 2000;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Acquisito il parere della Conferenza</w:t>
      </w:r>
      <w:r>
        <w:rPr>
          <w:rFonts w:ascii="Verdana" w:hAnsi="Verdana"/>
          <w:sz w:val="18"/>
          <w:szCs w:val="18"/>
        </w:rPr>
        <w:t xml:space="preserve"> Stato-città </w:t>
      </w:r>
      <w:r w:rsidRPr="000503B7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autonomie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locali e della Conferenza unificata, istituita ai sensi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legislativo 28 agosto 1997, n. 281;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Vista la deliberazione del Consiglio dei Ministri, adottata nella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riunione del 4 agosto 2000; 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Sulla proposta del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Ministri per gli affa</w:t>
      </w:r>
      <w:r>
        <w:rPr>
          <w:rFonts w:ascii="Verdana" w:hAnsi="Verdana"/>
          <w:sz w:val="18"/>
          <w:szCs w:val="18"/>
        </w:rPr>
        <w:t>ri regionali e della giustizia;</w:t>
      </w:r>
    </w:p>
    <w:p w:rsidR="000503B7" w:rsidRPr="000503B7" w:rsidRDefault="000503B7" w:rsidP="000503B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0503B7" w:rsidRDefault="000503B7" w:rsidP="000503B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il seguente decreto legislativo:</w:t>
      </w:r>
    </w:p>
    <w:p w:rsidR="000503B7" w:rsidRPr="000503B7" w:rsidRDefault="000503B7" w:rsidP="000503B7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:rsidR="000503B7" w:rsidRPr="000503B7" w:rsidRDefault="000503B7" w:rsidP="000503B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>Art. 62</w:t>
      </w:r>
      <w:r w:rsidR="00326FD5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0503B7">
        <w:rPr>
          <w:rFonts w:ascii="Verdana" w:hAnsi="Verdana"/>
          <w:b/>
          <w:color w:val="1F497D" w:themeColor="text2"/>
          <w:sz w:val="18"/>
          <w:szCs w:val="18"/>
        </w:rPr>
        <w:t>Decadenza dalla carica di sindaco e di presidente della provincia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1.</w:t>
      </w:r>
      <w:r w:rsidR="00326FD5"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Fermo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previsto dall'articolo 7 del decreto del</w:t>
      </w:r>
      <w:r w:rsidR="00326FD5"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della Repubblica 30 marzo 1957, n. 361, e dall'articolo 5</w:t>
      </w:r>
      <w:r w:rsidR="00326FD5"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1993, n. 533, l'accettazione</w:t>
      </w:r>
      <w:r w:rsidR="00326FD5"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della candidatura a deputato o senatore comporta, in ogni caso, per i</w:t>
      </w:r>
      <w:r w:rsidR="00326FD5"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sindaci dei comuni con popolazione superiore ai 20.000 abitanti e per</w:t>
      </w:r>
      <w:r w:rsidR="00326FD5"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dalle cariche elettive</w:t>
      </w:r>
      <w:r w:rsidR="00326FD5"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ricoperte.</w:t>
      </w:r>
    </w:p>
    <w:p w:rsidR="000503B7" w:rsidRPr="000503B7" w:rsidRDefault="000503B7" w:rsidP="007638B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sectPr w:rsidR="000503B7" w:rsidRPr="000503B7" w:rsidSect="00D85C1C"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82" w:rsidRDefault="00DA0082" w:rsidP="00BF4639">
      <w:pPr>
        <w:spacing w:after="0" w:line="240" w:lineRule="auto"/>
      </w:pPr>
      <w:r>
        <w:separator/>
      </w:r>
    </w:p>
  </w:endnote>
  <w:endnote w:type="continuationSeparator" w:id="0">
    <w:p w:rsidR="00DA0082" w:rsidRDefault="00DA0082" w:rsidP="00B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82" w:rsidRDefault="00DA0082" w:rsidP="00BF4639">
      <w:pPr>
        <w:spacing w:after="0" w:line="240" w:lineRule="auto"/>
      </w:pPr>
      <w:r>
        <w:separator/>
      </w:r>
    </w:p>
  </w:footnote>
  <w:footnote w:type="continuationSeparator" w:id="0">
    <w:p w:rsidR="00DA0082" w:rsidRDefault="00DA0082" w:rsidP="00BF4639">
      <w:pPr>
        <w:spacing w:after="0" w:line="240" w:lineRule="auto"/>
      </w:pPr>
      <w:r>
        <w:continuationSeparator/>
      </w:r>
    </w:p>
  </w:footnote>
  <w:footnote w:id="1">
    <w:p w:rsidR="00DA0082" w:rsidRPr="00B54802" w:rsidRDefault="00DA0082">
      <w:pPr>
        <w:pStyle w:val="Testonotaapidipagina"/>
        <w:rPr>
          <w:rFonts w:ascii="Verdana" w:hAnsi="Verdana"/>
          <w:sz w:val="16"/>
          <w:szCs w:val="16"/>
        </w:rPr>
      </w:pPr>
      <w:r w:rsidRPr="00B54802">
        <w:rPr>
          <w:rStyle w:val="Rimandonotaapidipagina"/>
          <w:rFonts w:ascii="Verdana" w:hAnsi="Verdana"/>
          <w:sz w:val="16"/>
          <w:szCs w:val="16"/>
        </w:rPr>
        <w:footnoteRef/>
      </w:r>
      <w:r w:rsidRPr="00B5480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Estratto </w:t>
      </w:r>
      <w:r w:rsidR="0093408E">
        <w:rPr>
          <w:rFonts w:ascii="Verdana" w:hAnsi="Verdana"/>
          <w:sz w:val="16"/>
          <w:szCs w:val="16"/>
        </w:rPr>
        <w:t xml:space="preserve">del decreto </w:t>
      </w:r>
      <w:r w:rsidR="0093408E" w:rsidRPr="0093408E">
        <w:rPr>
          <w:rFonts w:ascii="Verdana" w:hAnsi="Verdana"/>
          <w:sz w:val="16"/>
          <w:szCs w:val="16"/>
        </w:rPr>
        <w:t>con riferimento alle parti di interesse per le elezioni politiche.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7"/>
    <w:rsid w:val="000060F4"/>
    <w:rsid w:val="000503B7"/>
    <w:rsid w:val="000816D4"/>
    <w:rsid w:val="000D3251"/>
    <w:rsid w:val="0014397C"/>
    <w:rsid w:val="00185F03"/>
    <w:rsid w:val="001F0403"/>
    <w:rsid w:val="002017DA"/>
    <w:rsid w:val="00216957"/>
    <w:rsid w:val="0023176F"/>
    <w:rsid w:val="002908B3"/>
    <w:rsid w:val="002C65D9"/>
    <w:rsid w:val="00326FD5"/>
    <w:rsid w:val="0039521B"/>
    <w:rsid w:val="003A517F"/>
    <w:rsid w:val="003F26FB"/>
    <w:rsid w:val="003F627B"/>
    <w:rsid w:val="00411404"/>
    <w:rsid w:val="00445CC2"/>
    <w:rsid w:val="004C504F"/>
    <w:rsid w:val="004D64A7"/>
    <w:rsid w:val="00507A6E"/>
    <w:rsid w:val="005303C7"/>
    <w:rsid w:val="00536DB0"/>
    <w:rsid w:val="005530FE"/>
    <w:rsid w:val="005865C0"/>
    <w:rsid w:val="005A40F1"/>
    <w:rsid w:val="005F5F40"/>
    <w:rsid w:val="00605E92"/>
    <w:rsid w:val="0067731B"/>
    <w:rsid w:val="00682FBD"/>
    <w:rsid w:val="006C7EE9"/>
    <w:rsid w:val="007534C2"/>
    <w:rsid w:val="007638B5"/>
    <w:rsid w:val="007B326A"/>
    <w:rsid w:val="008E3639"/>
    <w:rsid w:val="0093408E"/>
    <w:rsid w:val="0094339A"/>
    <w:rsid w:val="009A3353"/>
    <w:rsid w:val="009E2502"/>
    <w:rsid w:val="00A03BF1"/>
    <w:rsid w:val="00AA0B7A"/>
    <w:rsid w:val="00B54802"/>
    <w:rsid w:val="00B552A3"/>
    <w:rsid w:val="00B975E1"/>
    <w:rsid w:val="00BF4639"/>
    <w:rsid w:val="00D04C43"/>
    <w:rsid w:val="00D572B0"/>
    <w:rsid w:val="00D85C1C"/>
    <w:rsid w:val="00D9400B"/>
    <w:rsid w:val="00DA0082"/>
    <w:rsid w:val="00DE5E42"/>
    <w:rsid w:val="00E72BD9"/>
    <w:rsid w:val="00E7430B"/>
    <w:rsid w:val="00E84F39"/>
    <w:rsid w:val="00EE5769"/>
    <w:rsid w:val="00E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B7B9-0818-409E-BCEE-0DC1D5AF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2014-09-19T14:07:00Z</dcterms:created>
  <dcterms:modified xsi:type="dcterms:W3CDTF">2018-01-08T08:53:00Z</dcterms:modified>
</cp:coreProperties>
</file>