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503B7">
        <w:rPr>
          <w:rFonts w:ascii="Verdana" w:hAnsi="Verdana"/>
          <w:b/>
          <w:color w:val="4E3F85"/>
          <w:sz w:val="20"/>
          <w:szCs w:val="20"/>
        </w:rPr>
        <w:t>DECRETO LEGISLATIVO 18 agosto 2000, n. 267</w:t>
      </w:r>
      <w:r w:rsidR="00B54802">
        <w:rPr>
          <w:rStyle w:val="Rimandonotaapidipagina"/>
          <w:rFonts w:ascii="Verdana" w:hAnsi="Verdana"/>
          <w:b/>
          <w:color w:val="4E3F85"/>
          <w:sz w:val="20"/>
          <w:szCs w:val="20"/>
        </w:rPr>
        <w:footnoteReference w:id="1"/>
      </w:r>
      <w:r w:rsidRPr="000503B7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03B7">
        <w:rPr>
          <w:rFonts w:ascii="Verdana" w:hAnsi="Verdana"/>
          <w:sz w:val="20"/>
          <w:szCs w:val="20"/>
        </w:rPr>
        <w:t>Testo unico delle leggi sull'ordinamento degli enti locali.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PRESIDENTE DELLA REPUBBLICA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Visti gli articoli 76 e 87 della Costituzione;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Visto l'articolo 14 della legge 23 agosto 1988, n. 400;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Visto l'articolo 31 della legge 3 agosto 1999,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265,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delega al Governo per l'adozione di un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ordinamento degli enti locali;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preliminare deliberazione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adottata nella riunione del 20 aprile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Acquisiti i pareri delle competenti Commissioni del Senato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Repubblica e della Camera dei Deputati;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Udito il parere del Consiglio 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nell'adunanza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generale dell'8 giugno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Acquisito il parere della Conferenza</w:t>
      </w:r>
      <w:r>
        <w:rPr>
          <w:rFonts w:ascii="Verdana" w:hAnsi="Verdana"/>
          <w:sz w:val="18"/>
          <w:szCs w:val="18"/>
        </w:rPr>
        <w:t xml:space="preserve"> Stato-città </w:t>
      </w:r>
      <w:r w:rsidRPr="000503B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autonomie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locali e della Conferenza unificata, istituita ai sensi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legislativo 28 agosto 1997, n. 281;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riunione del 4 agosto 2000;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Sulla proposta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 per gli affa</w:t>
      </w:r>
      <w:r>
        <w:rPr>
          <w:rFonts w:ascii="Verdana" w:hAnsi="Verdana"/>
          <w:sz w:val="18"/>
          <w:szCs w:val="18"/>
        </w:rPr>
        <w:t>ri regionali e della giustizia;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seguente decreto legislativo:</w:t>
      </w:r>
    </w:p>
    <w:p w:rsidR="000503B7" w:rsidRPr="000503B7" w:rsidRDefault="000503B7" w:rsidP="000503B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62</w:t>
      </w:r>
      <w:r w:rsidR="00326FD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Decadenza dalla carica di sindaco e di presidente della provincia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326FD5"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previsto dall'articolo 7 del decreto del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 Repubblica 30 marzo 1957, n. 361, e dall'articolo 5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1993, n. 533, l'accettazione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 candidatura a deputato o senatore comporta, in ogni caso, per i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sindaci dei comuni con popolazione superiore ai 20.000 abitanti e per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dalle cariche elettive</w:t>
      </w:r>
      <w:r w:rsidR="00326FD5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ricoperte.</w:t>
      </w:r>
    </w:p>
    <w:p w:rsidR="000503B7" w:rsidRPr="000503B7" w:rsidRDefault="000503B7" w:rsidP="007638B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sectPr w:rsidR="000503B7" w:rsidRPr="000503B7" w:rsidSect="00D85C1C"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82" w:rsidRDefault="00DA0082" w:rsidP="00BF4639">
      <w:pPr>
        <w:spacing w:after="0" w:line="240" w:lineRule="auto"/>
      </w:pPr>
      <w:r>
        <w:separator/>
      </w:r>
    </w:p>
  </w:endnote>
  <w:endnote w:type="continuationSeparator" w:id="0">
    <w:p w:rsidR="00DA0082" w:rsidRDefault="00DA0082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FF" w:rsidRPr="006E2EFF" w:rsidRDefault="006E2EFF" w:rsidP="006E2EFF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6E2EFF">
      <w:rPr>
        <w:rFonts w:ascii="Verdana" w:hAnsi="Verdana"/>
        <w:sz w:val="17"/>
        <w:szCs w:val="17"/>
      </w:rPr>
      <w:t>Ultimo aggiornamento: 24/08/2018</w:t>
    </w:r>
    <w:r w:rsidRPr="006E2EFF">
      <w:rPr>
        <w:rFonts w:ascii="Verdana" w:hAnsi="Verdana"/>
        <w:sz w:val="17"/>
        <w:szCs w:val="17"/>
      </w:rPr>
      <w:tab/>
    </w:r>
    <w:r w:rsidRPr="006E2EFF">
      <w:rPr>
        <w:rFonts w:ascii="Verdana" w:hAnsi="Verdana"/>
        <w:sz w:val="17"/>
        <w:szCs w:val="17"/>
      </w:rPr>
      <w:tab/>
    </w:r>
    <w:r w:rsidRPr="006E2EFF">
      <w:rPr>
        <w:rFonts w:ascii="Verdana" w:hAnsi="Verdana"/>
        <w:sz w:val="17"/>
        <w:szCs w:val="17"/>
      </w:rPr>
      <w:fldChar w:fldCharType="begin"/>
    </w:r>
    <w:r w:rsidRPr="006E2EFF">
      <w:rPr>
        <w:rFonts w:ascii="Verdana" w:hAnsi="Verdana"/>
        <w:sz w:val="17"/>
        <w:szCs w:val="17"/>
      </w:rPr>
      <w:instrText>PAGE   \* MERGEFORMAT</w:instrText>
    </w:r>
    <w:r w:rsidRPr="006E2EFF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6E2EFF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82" w:rsidRDefault="00DA0082" w:rsidP="00BF4639">
      <w:pPr>
        <w:spacing w:after="0" w:line="240" w:lineRule="auto"/>
      </w:pPr>
      <w:r>
        <w:separator/>
      </w:r>
    </w:p>
  </w:footnote>
  <w:footnote w:type="continuationSeparator" w:id="0">
    <w:p w:rsidR="00DA0082" w:rsidRDefault="00DA0082" w:rsidP="00BF4639">
      <w:pPr>
        <w:spacing w:after="0" w:line="240" w:lineRule="auto"/>
      </w:pPr>
      <w:r>
        <w:continuationSeparator/>
      </w:r>
    </w:p>
  </w:footnote>
  <w:footnote w:id="1">
    <w:p w:rsidR="00DA0082" w:rsidRPr="00B54802" w:rsidRDefault="00DA0082">
      <w:pPr>
        <w:pStyle w:val="Testonotaapidipagina"/>
        <w:rPr>
          <w:rFonts w:ascii="Verdana" w:hAnsi="Verdana"/>
          <w:sz w:val="16"/>
          <w:szCs w:val="16"/>
        </w:rPr>
      </w:pPr>
      <w:r w:rsidRPr="00B54802">
        <w:rPr>
          <w:rStyle w:val="Rimandonotaapidipagina"/>
          <w:rFonts w:ascii="Verdana" w:hAnsi="Verdana"/>
          <w:sz w:val="16"/>
          <w:szCs w:val="16"/>
        </w:rPr>
        <w:footnoteRef/>
      </w:r>
      <w:r w:rsidRPr="00B5480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Estratto </w:t>
      </w:r>
      <w:r w:rsidR="0093408E">
        <w:rPr>
          <w:rFonts w:ascii="Verdana" w:hAnsi="Verdana"/>
          <w:sz w:val="16"/>
          <w:szCs w:val="16"/>
        </w:rPr>
        <w:t xml:space="preserve">del decreto </w:t>
      </w:r>
      <w:r w:rsidR="0093408E" w:rsidRPr="0093408E">
        <w:rPr>
          <w:rFonts w:ascii="Verdana" w:hAnsi="Verdana"/>
          <w:sz w:val="16"/>
          <w:szCs w:val="16"/>
        </w:rPr>
        <w:t>con riferi</w:t>
      </w:r>
      <w:bookmarkStart w:id="0" w:name="_GoBack"/>
      <w:bookmarkEnd w:id="0"/>
      <w:r w:rsidR="0093408E" w:rsidRPr="0093408E">
        <w:rPr>
          <w:rFonts w:ascii="Verdana" w:hAnsi="Verdana"/>
          <w:sz w:val="16"/>
          <w:szCs w:val="16"/>
        </w:rPr>
        <w:t>mento alle parti di interesse per le elezioni politiche.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F0403"/>
    <w:rsid w:val="002017DA"/>
    <w:rsid w:val="00216957"/>
    <w:rsid w:val="0023176F"/>
    <w:rsid w:val="002908B3"/>
    <w:rsid w:val="002C65D9"/>
    <w:rsid w:val="00326FD5"/>
    <w:rsid w:val="0039521B"/>
    <w:rsid w:val="003A517F"/>
    <w:rsid w:val="003F26FB"/>
    <w:rsid w:val="003F627B"/>
    <w:rsid w:val="00411404"/>
    <w:rsid w:val="00445CC2"/>
    <w:rsid w:val="004C504F"/>
    <w:rsid w:val="004D64A7"/>
    <w:rsid w:val="00507A6E"/>
    <w:rsid w:val="005303C7"/>
    <w:rsid w:val="00536DB0"/>
    <w:rsid w:val="005530FE"/>
    <w:rsid w:val="005865C0"/>
    <w:rsid w:val="005A40F1"/>
    <w:rsid w:val="005F5F40"/>
    <w:rsid w:val="00605E92"/>
    <w:rsid w:val="0067731B"/>
    <w:rsid w:val="00682FBD"/>
    <w:rsid w:val="006C7EE9"/>
    <w:rsid w:val="006E2EFF"/>
    <w:rsid w:val="007534C2"/>
    <w:rsid w:val="007638B5"/>
    <w:rsid w:val="007B326A"/>
    <w:rsid w:val="008E3639"/>
    <w:rsid w:val="0093408E"/>
    <w:rsid w:val="0094339A"/>
    <w:rsid w:val="009A3353"/>
    <w:rsid w:val="009E2502"/>
    <w:rsid w:val="00A03BF1"/>
    <w:rsid w:val="00AA0B7A"/>
    <w:rsid w:val="00B54802"/>
    <w:rsid w:val="00B552A3"/>
    <w:rsid w:val="00B975E1"/>
    <w:rsid w:val="00BF4639"/>
    <w:rsid w:val="00D04C43"/>
    <w:rsid w:val="00D572B0"/>
    <w:rsid w:val="00D85C1C"/>
    <w:rsid w:val="00D9400B"/>
    <w:rsid w:val="00DA0082"/>
    <w:rsid w:val="00DE5E42"/>
    <w:rsid w:val="00E72BD9"/>
    <w:rsid w:val="00E7430B"/>
    <w:rsid w:val="00E84F39"/>
    <w:rsid w:val="00EE5769"/>
    <w:rsid w:val="00E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B898-7033-4389-A30A-27EBCB10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2018-08-24T15:40:00Z</dcterms:created>
  <dcterms:modified xsi:type="dcterms:W3CDTF">2018-08-24T15:40:00Z</dcterms:modified>
</cp:coreProperties>
</file>