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CA79" w14:textId="77777777" w:rsidR="007B15E1" w:rsidRPr="004B7716" w:rsidRDefault="007B15E1" w:rsidP="007B15E1">
      <w:pPr>
        <w:tabs>
          <w:tab w:val="left" w:pos="426"/>
        </w:tabs>
        <w:jc w:val="both"/>
        <w:rPr>
          <w:rFonts w:ascii="Verdana" w:hAnsi="Verdana" w:cs="Arial"/>
          <w:b/>
          <w:color w:val="4E3F85"/>
          <w:sz w:val="20"/>
          <w:szCs w:val="20"/>
        </w:rPr>
      </w:pPr>
      <w:r w:rsidRPr="004B7716">
        <w:rPr>
          <w:rFonts w:ascii="Verdana" w:hAnsi="Verdana" w:cs="Arial"/>
          <w:b/>
          <w:color w:val="4E3F85"/>
          <w:sz w:val="20"/>
          <w:szCs w:val="20"/>
        </w:rPr>
        <w:t>DECRETO LE</w:t>
      </w:r>
      <w:r w:rsidR="00AC5765">
        <w:rPr>
          <w:rFonts w:ascii="Verdana" w:hAnsi="Verdana" w:cs="Arial"/>
          <w:b/>
          <w:color w:val="4E3F85"/>
          <w:sz w:val="20"/>
          <w:szCs w:val="20"/>
        </w:rPr>
        <w:t>GISLATIVO 2 luglio 2010, n. 104</w:t>
      </w:r>
    </w:p>
    <w:p w14:paraId="58D85E78" w14:textId="77777777" w:rsidR="007B15E1" w:rsidRPr="004B7716" w:rsidRDefault="007B15E1" w:rsidP="007B15E1">
      <w:pPr>
        <w:tabs>
          <w:tab w:val="left" w:pos="426"/>
        </w:tabs>
        <w:jc w:val="both"/>
        <w:rPr>
          <w:rFonts w:ascii="Verdana" w:hAnsi="Verdana" w:cs="Arial"/>
          <w:sz w:val="20"/>
          <w:szCs w:val="20"/>
        </w:rPr>
      </w:pPr>
      <w:r w:rsidRPr="004B7716">
        <w:rPr>
          <w:rFonts w:ascii="Verdana" w:hAnsi="Verdana" w:cs="Arial"/>
          <w:sz w:val="20"/>
          <w:szCs w:val="20"/>
        </w:rPr>
        <w:t>Attuazione dell'articolo 44 della legge 18 giugno 2009, n. 69,</w:t>
      </w:r>
      <w:r w:rsidR="004B7716">
        <w:rPr>
          <w:rFonts w:ascii="Verdana" w:hAnsi="Verdana" w:cs="Arial"/>
          <w:sz w:val="20"/>
          <w:szCs w:val="20"/>
        </w:rPr>
        <w:t xml:space="preserve"> </w:t>
      </w:r>
      <w:r w:rsidRPr="004B7716">
        <w:rPr>
          <w:rFonts w:ascii="Verdana" w:hAnsi="Verdana" w:cs="Arial"/>
          <w:sz w:val="20"/>
          <w:szCs w:val="20"/>
        </w:rPr>
        <w:t>recante delega al governo per il riordino del processo</w:t>
      </w:r>
      <w:r w:rsidR="004B7716">
        <w:rPr>
          <w:rFonts w:ascii="Verdana" w:hAnsi="Verdana" w:cs="Arial"/>
          <w:sz w:val="20"/>
          <w:szCs w:val="20"/>
        </w:rPr>
        <w:t xml:space="preserve"> </w:t>
      </w:r>
      <w:r w:rsidR="00AC5765">
        <w:rPr>
          <w:rFonts w:ascii="Verdana" w:hAnsi="Verdana" w:cs="Arial"/>
          <w:sz w:val="20"/>
          <w:szCs w:val="20"/>
        </w:rPr>
        <w:t>amministrativo. (10G0127)</w:t>
      </w:r>
      <w:r w:rsidR="003A100C">
        <w:rPr>
          <w:rStyle w:val="Rimandonotaapidipagina"/>
          <w:rFonts w:ascii="Verdana" w:hAnsi="Verdana" w:cs="Arial"/>
          <w:sz w:val="20"/>
          <w:szCs w:val="20"/>
        </w:rPr>
        <w:footnoteReference w:id="1"/>
      </w:r>
    </w:p>
    <w:p w14:paraId="7FAD0B9D" w14:textId="77777777" w:rsidR="00584955" w:rsidRPr="007B15E1" w:rsidRDefault="00584955" w:rsidP="007B15E1">
      <w:pPr>
        <w:tabs>
          <w:tab w:val="left" w:pos="426"/>
        </w:tabs>
        <w:jc w:val="both"/>
        <w:rPr>
          <w:rFonts w:ascii="Verdana" w:hAnsi="Verdana"/>
          <w:sz w:val="18"/>
          <w:szCs w:val="18"/>
        </w:rPr>
      </w:pPr>
    </w:p>
    <w:p w14:paraId="2CA38710" w14:textId="77777777" w:rsidR="007B15E1" w:rsidRPr="004B7716" w:rsidRDefault="007B15E1" w:rsidP="004B7716">
      <w:pPr>
        <w:tabs>
          <w:tab w:val="left" w:pos="426"/>
        </w:tabs>
        <w:spacing w:after="40"/>
        <w:jc w:val="center"/>
        <w:rPr>
          <w:rFonts w:ascii="Verdana" w:hAnsi="Verdana" w:cs="Arial"/>
          <w:b/>
          <w:color w:val="5F497A" w:themeColor="accent4" w:themeShade="BF"/>
          <w:sz w:val="18"/>
          <w:szCs w:val="18"/>
        </w:rPr>
      </w:pPr>
      <w:r w:rsidRPr="004B7716">
        <w:rPr>
          <w:rFonts w:ascii="Verdana" w:hAnsi="Verdana" w:cs="Arial"/>
          <w:b/>
          <w:color w:val="5F497A" w:themeColor="accent4" w:themeShade="BF"/>
          <w:sz w:val="18"/>
          <w:szCs w:val="18"/>
        </w:rPr>
        <w:t>LIBRO PRIMO</w:t>
      </w:r>
    </w:p>
    <w:p w14:paraId="18814290" w14:textId="77777777" w:rsidR="007B15E1" w:rsidRPr="007B15E1" w:rsidRDefault="007B15E1" w:rsidP="004B7716">
      <w:pPr>
        <w:tabs>
          <w:tab w:val="left" w:pos="426"/>
        </w:tabs>
        <w:jc w:val="center"/>
        <w:rPr>
          <w:rFonts w:ascii="Verdana" w:hAnsi="Verdana"/>
          <w:i/>
          <w:sz w:val="18"/>
          <w:szCs w:val="18"/>
        </w:rPr>
      </w:pPr>
      <w:r w:rsidRPr="007B15E1">
        <w:rPr>
          <w:rFonts w:ascii="Verdana" w:hAnsi="Verdana"/>
          <w:i/>
          <w:sz w:val="18"/>
          <w:szCs w:val="18"/>
        </w:rPr>
        <w:t>Omissis</w:t>
      </w:r>
    </w:p>
    <w:p w14:paraId="31E3484F" w14:textId="77777777" w:rsidR="007B15E1" w:rsidRPr="007B15E1" w:rsidRDefault="007B15E1" w:rsidP="007B15E1">
      <w:pPr>
        <w:tabs>
          <w:tab w:val="left" w:pos="426"/>
        </w:tabs>
        <w:jc w:val="both"/>
        <w:rPr>
          <w:rFonts w:ascii="Verdana" w:hAnsi="Verdana"/>
          <w:sz w:val="18"/>
          <w:szCs w:val="18"/>
        </w:rPr>
      </w:pPr>
    </w:p>
    <w:p w14:paraId="7759C8CD" w14:textId="77777777" w:rsidR="007B15E1" w:rsidRPr="004B7716" w:rsidRDefault="007B15E1" w:rsidP="004B7716">
      <w:pPr>
        <w:tabs>
          <w:tab w:val="left" w:pos="426"/>
        </w:tabs>
        <w:spacing w:after="40"/>
        <w:jc w:val="center"/>
        <w:rPr>
          <w:rFonts w:ascii="Verdana" w:hAnsi="Verdana" w:cs="Arial"/>
          <w:b/>
          <w:color w:val="5F497A" w:themeColor="accent4" w:themeShade="BF"/>
          <w:sz w:val="18"/>
          <w:szCs w:val="18"/>
        </w:rPr>
      </w:pPr>
      <w:r w:rsidRPr="004B7716">
        <w:rPr>
          <w:rFonts w:ascii="Verdana" w:hAnsi="Verdana" w:cs="Arial"/>
          <w:b/>
          <w:color w:val="5F497A" w:themeColor="accent4" w:themeShade="BF"/>
          <w:sz w:val="18"/>
          <w:szCs w:val="18"/>
        </w:rPr>
        <w:t>LIBRO SECONDO</w:t>
      </w:r>
    </w:p>
    <w:p w14:paraId="4A7952F6" w14:textId="77777777" w:rsidR="007B15E1" w:rsidRPr="004B7716" w:rsidRDefault="004B7716" w:rsidP="004B7716">
      <w:pPr>
        <w:tabs>
          <w:tab w:val="left" w:pos="426"/>
        </w:tabs>
        <w:jc w:val="center"/>
        <w:rPr>
          <w:rFonts w:ascii="Verdana" w:hAnsi="Verdana" w:cs="Arial"/>
          <w:i/>
          <w:sz w:val="18"/>
          <w:szCs w:val="18"/>
        </w:rPr>
      </w:pPr>
      <w:r w:rsidRPr="004B7716">
        <w:rPr>
          <w:rFonts w:ascii="Verdana" w:hAnsi="Verdana" w:cs="Arial"/>
          <w:i/>
          <w:sz w:val="18"/>
          <w:szCs w:val="18"/>
        </w:rPr>
        <w:t>Processo amministrativo di primo grado</w:t>
      </w:r>
    </w:p>
    <w:p w14:paraId="2B709630" w14:textId="77777777" w:rsidR="007B15E1" w:rsidRPr="004B7716" w:rsidRDefault="004B7716" w:rsidP="004B7716">
      <w:pPr>
        <w:tabs>
          <w:tab w:val="left" w:pos="426"/>
        </w:tabs>
        <w:spacing w:after="40"/>
        <w:jc w:val="center"/>
        <w:rPr>
          <w:rFonts w:ascii="Verdana" w:hAnsi="Verdana" w:cs="Arial"/>
          <w:b/>
          <w:color w:val="993366"/>
          <w:sz w:val="18"/>
          <w:szCs w:val="18"/>
        </w:rPr>
      </w:pPr>
      <w:r w:rsidRPr="004B7716">
        <w:rPr>
          <w:rFonts w:ascii="Verdana" w:hAnsi="Verdana" w:cs="Arial"/>
          <w:b/>
          <w:color w:val="993366"/>
          <w:sz w:val="18"/>
          <w:szCs w:val="18"/>
        </w:rPr>
        <w:t>TITOLO I</w:t>
      </w:r>
    </w:p>
    <w:p w14:paraId="193E7BB8" w14:textId="77777777" w:rsidR="007B15E1" w:rsidRPr="004B7716" w:rsidRDefault="007B15E1" w:rsidP="004B7716">
      <w:pPr>
        <w:tabs>
          <w:tab w:val="left" w:pos="426"/>
        </w:tabs>
        <w:jc w:val="center"/>
        <w:rPr>
          <w:rFonts w:ascii="Verdana" w:hAnsi="Verdana" w:cs="Arial"/>
          <w:i/>
          <w:sz w:val="18"/>
          <w:szCs w:val="18"/>
        </w:rPr>
      </w:pPr>
      <w:r w:rsidRPr="004B7716">
        <w:rPr>
          <w:rFonts w:ascii="Verdana" w:hAnsi="Verdana" w:cs="Arial"/>
          <w:i/>
          <w:sz w:val="18"/>
          <w:szCs w:val="18"/>
        </w:rPr>
        <w:t>Disposizioni generali</w:t>
      </w:r>
    </w:p>
    <w:p w14:paraId="0D1CF1E0" w14:textId="77777777" w:rsidR="007B15E1" w:rsidRPr="004B7716" w:rsidRDefault="004B7716" w:rsidP="007B15E1">
      <w:pPr>
        <w:tabs>
          <w:tab w:val="left" w:pos="426"/>
        </w:tabs>
        <w:jc w:val="both"/>
        <w:rPr>
          <w:rFonts w:ascii="Verdana" w:hAnsi="Verdana"/>
          <w:b/>
          <w:i/>
          <w:sz w:val="18"/>
          <w:szCs w:val="18"/>
        </w:rPr>
      </w:pPr>
      <w:r w:rsidRPr="004B7716">
        <w:rPr>
          <w:rFonts w:ascii="Verdana" w:hAnsi="Verdana"/>
          <w:b/>
          <w:i/>
          <w:sz w:val="18"/>
          <w:szCs w:val="18"/>
        </w:rPr>
        <w:t>CAPO I</w:t>
      </w:r>
    </w:p>
    <w:p w14:paraId="2A77E269" w14:textId="77777777" w:rsidR="007B15E1" w:rsidRPr="004B7716" w:rsidRDefault="007B15E1" w:rsidP="007B15E1">
      <w:pPr>
        <w:tabs>
          <w:tab w:val="left" w:pos="426"/>
        </w:tabs>
        <w:jc w:val="both"/>
        <w:rPr>
          <w:rFonts w:ascii="Verdana" w:hAnsi="Verdana"/>
          <w:i/>
          <w:sz w:val="18"/>
          <w:szCs w:val="18"/>
        </w:rPr>
      </w:pPr>
      <w:r w:rsidRPr="004B7716">
        <w:rPr>
          <w:rFonts w:ascii="Verdana" w:hAnsi="Verdana"/>
          <w:i/>
          <w:sz w:val="18"/>
          <w:szCs w:val="18"/>
        </w:rPr>
        <w:t>Ricorso</w:t>
      </w:r>
    </w:p>
    <w:p w14:paraId="5435AD49" w14:textId="77777777" w:rsidR="007B15E1" w:rsidRPr="004B7716" w:rsidRDefault="004B7716" w:rsidP="007B15E1">
      <w:pPr>
        <w:tabs>
          <w:tab w:val="left" w:pos="426"/>
        </w:tabs>
        <w:jc w:val="both"/>
        <w:rPr>
          <w:rFonts w:ascii="Verdana" w:hAnsi="Verdana"/>
          <w:i/>
          <w:sz w:val="18"/>
          <w:szCs w:val="18"/>
        </w:rPr>
      </w:pPr>
      <w:r w:rsidRPr="004B7716">
        <w:rPr>
          <w:rFonts w:ascii="Verdana" w:hAnsi="Verdana"/>
          <w:i/>
          <w:sz w:val="18"/>
          <w:szCs w:val="18"/>
        </w:rPr>
        <w:t>SEZIONE I</w:t>
      </w:r>
    </w:p>
    <w:p w14:paraId="2A45ACE0" w14:textId="77777777" w:rsidR="007B15E1" w:rsidRPr="004B7716" w:rsidRDefault="007B15E1" w:rsidP="007B15E1">
      <w:pPr>
        <w:tabs>
          <w:tab w:val="left" w:pos="426"/>
        </w:tabs>
        <w:jc w:val="both"/>
        <w:rPr>
          <w:rFonts w:ascii="Verdana" w:hAnsi="Verdana"/>
          <w:i/>
          <w:sz w:val="18"/>
          <w:szCs w:val="18"/>
        </w:rPr>
      </w:pPr>
      <w:r w:rsidRPr="004B7716">
        <w:rPr>
          <w:rFonts w:ascii="Verdana" w:hAnsi="Verdana"/>
          <w:i/>
          <w:sz w:val="18"/>
          <w:szCs w:val="18"/>
        </w:rPr>
        <w:t>Ricorso e costituzione delle parti</w:t>
      </w:r>
    </w:p>
    <w:p w14:paraId="4E05E1AB" w14:textId="77777777" w:rsidR="007B15E1" w:rsidRPr="007B15E1" w:rsidRDefault="007B15E1" w:rsidP="007B15E1">
      <w:pPr>
        <w:tabs>
          <w:tab w:val="left" w:pos="426"/>
        </w:tabs>
        <w:jc w:val="both"/>
        <w:rPr>
          <w:rFonts w:ascii="Verdana" w:hAnsi="Verdana"/>
          <w:i/>
          <w:sz w:val="18"/>
          <w:szCs w:val="18"/>
        </w:rPr>
      </w:pPr>
      <w:r w:rsidRPr="007B15E1">
        <w:rPr>
          <w:rFonts w:ascii="Verdana" w:hAnsi="Verdana"/>
          <w:i/>
          <w:sz w:val="18"/>
          <w:szCs w:val="18"/>
        </w:rPr>
        <w:t>Omissis</w:t>
      </w:r>
    </w:p>
    <w:p w14:paraId="52AF4439" w14:textId="77777777" w:rsidR="007B15E1" w:rsidRPr="007B15E1" w:rsidRDefault="007B15E1" w:rsidP="007B15E1">
      <w:pPr>
        <w:tabs>
          <w:tab w:val="left" w:pos="426"/>
        </w:tabs>
        <w:jc w:val="both"/>
        <w:rPr>
          <w:rFonts w:ascii="Verdana" w:hAnsi="Verdana"/>
          <w:sz w:val="18"/>
          <w:szCs w:val="18"/>
        </w:rPr>
      </w:pPr>
    </w:p>
    <w:p w14:paraId="28D91626" w14:textId="77777777" w:rsidR="007B15E1" w:rsidRPr="004A212F" w:rsidRDefault="004A212F" w:rsidP="007B15E1">
      <w:pPr>
        <w:tabs>
          <w:tab w:val="left" w:pos="426"/>
        </w:tabs>
        <w:jc w:val="both"/>
        <w:rPr>
          <w:rFonts w:ascii="Verdana" w:hAnsi="Verdana"/>
          <w:i/>
          <w:sz w:val="18"/>
          <w:szCs w:val="18"/>
        </w:rPr>
      </w:pPr>
      <w:r w:rsidRPr="004A212F">
        <w:rPr>
          <w:rFonts w:ascii="Verdana" w:hAnsi="Verdana"/>
          <w:i/>
          <w:sz w:val="18"/>
          <w:szCs w:val="18"/>
        </w:rPr>
        <w:t>SEZIONE II</w:t>
      </w:r>
    </w:p>
    <w:p w14:paraId="2B3388AC" w14:textId="77777777"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Abbreviazione, proroga e sospensione dei termini</w:t>
      </w:r>
    </w:p>
    <w:p w14:paraId="730EF24B" w14:textId="77777777"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52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Termini e forme speciali di notificazione </w:t>
      </w:r>
    </w:p>
    <w:p w14:paraId="1F720FD9" w14:textId="77777777"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 xml:space="preserve">1. I termini assegnati dal giudice, salva diversa previsione, sono perentori. </w:t>
      </w:r>
    </w:p>
    <w:p w14:paraId="75D6C12F" w14:textId="77777777"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Pr>
          <w:rFonts w:ascii="Verdana" w:hAnsi="Verdana"/>
          <w:sz w:val="18"/>
          <w:szCs w:val="18"/>
        </w:rPr>
        <w:tab/>
        <w:t>Il presidente può</w:t>
      </w:r>
      <w:r w:rsidRPr="003A100C">
        <w:rPr>
          <w:rFonts w:ascii="Verdana" w:hAnsi="Verdana"/>
          <w:sz w:val="18"/>
          <w:szCs w:val="18"/>
        </w:rPr>
        <w:t xml:space="preserve"> autorizzare la notificazione del ricorso o di provvedimenti anche direttamente dal difensore con qualunque mezzo idoneo, compresi quelli per via telematica o fax, ai sensi dell'articolo 151 del codice di procedura civile. </w:t>
      </w:r>
    </w:p>
    <w:p w14:paraId="4ABE219C" w14:textId="77777777" w:rsidR="003A100C" w:rsidRDefault="003A100C" w:rsidP="003A100C">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3A100C">
        <w:rPr>
          <w:rFonts w:ascii="Verdana" w:hAnsi="Verdana"/>
          <w:sz w:val="18"/>
          <w:szCs w:val="18"/>
        </w:rPr>
        <w:t xml:space="preserve">Se il giorno di scadenza </w:t>
      </w:r>
      <w:r>
        <w:rPr>
          <w:rFonts w:ascii="Verdana" w:hAnsi="Verdana"/>
          <w:sz w:val="18"/>
          <w:szCs w:val="18"/>
        </w:rPr>
        <w:t xml:space="preserve">è </w:t>
      </w:r>
      <w:r w:rsidRPr="003A100C">
        <w:rPr>
          <w:rFonts w:ascii="Verdana" w:hAnsi="Verdana"/>
          <w:sz w:val="18"/>
          <w:szCs w:val="18"/>
        </w:rPr>
        <w:t xml:space="preserve">festivo il termine fissato dalla legge o dal giudice per l'adempimento </w:t>
      </w:r>
      <w:r>
        <w:rPr>
          <w:rFonts w:ascii="Verdana" w:hAnsi="Verdana"/>
          <w:sz w:val="18"/>
          <w:szCs w:val="18"/>
        </w:rPr>
        <w:t>è</w:t>
      </w:r>
      <w:r w:rsidRPr="003A100C">
        <w:rPr>
          <w:rFonts w:ascii="Verdana" w:hAnsi="Verdana"/>
          <w:sz w:val="18"/>
          <w:szCs w:val="18"/>
        </w:rPr>
        <w:t xml:space="preserve"> prorogato di diritto al primo giorno seguente non festivo. </w:t>
      </w:r>
    </w:p>
    <w:p w14:paraId="7B1C291F" w14:textId="77777777"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4.</w:t>
      </w:r>
      <w:r>
        <w:rPr>
          <w:rFonts w:ascii="Verdana" w:hAnsi="Verdana"/>
          <w:sz w:val="18"/>
          <w:szCs w:val="18"/>
        </w:rPr>
        <w:tab/>
      </w:r>
      <w:r w:rsidRPr="003A100C">
        <w:rPr>
          <w:rFonts w:ascii="Verdana" w:hAnsi="Verdana"/>
          <w:sz w:val="18"/>
          <w:szCs w:val="18"/>
        </w:rPr>
        <w:t xml:space="preserve">Per i termini computati a ritroso, la scadenza </w:t>
      </w:r>
      <w:r>
        <w:rPr>
          <w:rFonts w:ascii="Verdana" w:hAnsi="Verdana"/>
          <w:sz w:val="18"/>
          <w:szCs w:val="18"/>
        </w:rPr>
        <w:t>è</w:t>
      </w:r>
      <w:r w:rsidRPr="003A100C">
        <w:rPr>
          <w:rFonts w:ascii="Verdana" w:hAnsi="Verdana"/>
          <w:sz w:val="18"/>
          <w:szCs w:val="18"/>
        </w:rPr>
        <w:t xml:space="preserve"> anticipata al giorno antecedente non festivo. </w:t>
      </w:r>
    </w:p>
    <w:p w14:paraId="02628719" w14:textId="77777777" w:rsidR="007B15E1" w:rsidRPr="007B15E1" w:rsidRDefault="003A100C" w:rsidP="003A100C">
      <w:pPr>
        <w:tabs>
          <w:tab w:val="left" w:pos="426"/>
        </w:tabs>
        <w:jc w:val="both"/>
        <w:rPr>
          <w:rFonts w:ascii="Verdana" w:hAnsi="Verdana"/>
          <w:sz w:val="18"/>
          <w:szCs w:val="18"/>
        </w:rPr>
      </w:pPr>
      <w:r w:rsidRPr="003A100C">
        <w:rPr>
          <w:rFonts w:ascii="Verdana" w:hAnsi="Verdana"/>
          <w:sz w:val="18"/>
          <w:szCs w:val="18"/>
        </w:rPr>
        <w:t>5.</w:t>
      </w:r>
      <w:r>
        <w:rPr>
          <w:rFonts w:ascii="Verdana" w:hAnsi="Verdana"/>
          <w:sz w:val="18"/>
          <w:szCs w:val="18"/>
        </w:rPr>
        <w:tab/>
      </w:r>
      <w:r w:rsidRPr="003A100C">
        <w:rPr>
          <w:rFonts w:ascii="Verdana" w:hAnsi="Verdana"/>
          <w:sz w:val="18"/>
          <w:szCs w:val="18"/>
        </w:rPr>
        <w:t>La proroga di cui al comma 3 si applica anche ai termini che scadono nella giornata del sabato.</w:t>
      </w:r>
    </w:p>
    <w:p w14:paraId="18E56EE0" w14:textId="77777777" w:rsidR="007B15E1" w:rsidRPr="004A212F" w:rsidRDefault="007B15E1" w:rsidP="004A212F">
      <w:pPr>
        <w:tabs>
          <w:tab w:val="left" w:pos="426"/>
        </w:tabs>
        <w:spacing w:after="0"/>
        <w:jc w:val="both"/>
        <w:rPr>
          <w:rFonts w:ascii="Verdana" w:hAnsi="Verdana" w:cs="Arial"/>
          <w:sz w:val="18"/>
          <w:szCs w:val="18"/>
        </w:rPr>
      </w:pPr>
    </w:p>
    <w:p w14:paraId="34DB41F9" w14:textId="77777777"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53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Abbreviazione dei termini </w:t>
      </w:r>
    </w:p>
    <w:p w14:paraId="5A7EB995" w14:textId="77777777"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Pr="007B15E1">
        <w:rPr>
          <w:rFonts w:ascii="Verdana" w:hAnsi="Verdana"/>
          <w:sz w:val="18"/>
          <w:szCs w:val="18"/>
        </w:rPr>
        <w:t>N</w:t>
      </w:r>
      <w:r w:rsidR="003A100C" w:rsidRPr="003A100C">
        <w:rPr>
          <w:rFonts w:ascii="Verdana" w:hAnsi="Verdana"/>
          <w:sz w:val="18"/>
          <w:szCs w:val="18"/>
        </w:rPr>
        <w:t xml:space="preserve">ei casi d'urgenza, </w:t>
      </w:r>
      <w:r w:rsidR="003A100C">
        <w:rPr>
          <w:rFonts w:ascii="Verdana" w:hAnsi="Verdana"/>
          <w:sz w:val="18"/>
          <w:szCs w:val="18"/>
        </w:rPr>
        <w:t>il presidente del tribunale può</w:t>
      </w:r>
      <w:r w:rsidR="003A100C" w:rsidRPr="003A100C">
        <w:rPr>
          <w:rFonts w:ascii="Verdana" w:hAnsi="Verdana"/>
          <w:sz w:val="18"/>
          <w:szCs w:val="18"/>
        </w:rPr>
        <w:t>, su istanza di parte, abbreviare</w:t>
      </w:r>
      <w:r w:rsidR="003A100C">
        <w:rPr>
          <w:rFonts w:ascii="Verdana" w:hAnsi="Verdana"/>
          <w:sz w:val="18"/>
          <w:szCs w:val="18"/>
        </w:rPr>
        <w:t xml:space="preserve"> fino alla metà</w:t>
      </w:r>
      <w:r w:rsidR="003A100C" w:rsidRPr="003A100C">
        <w:rPr>
          <w:rFonts w:ascii="Verdana" w:hAnsi="Verdana"/>
          <w:sz w:val="18"/>
          <w:szCs w:val="18"/>
        </w:rPr>
        <w:t xml:space="preserve"> i termini previsti dal presente codice per la fissazione di udienze o di camere di consiglio. Conseguentemente sono ridotti proporzionalmente i termini per le difese della relativa fase. </w:t>
      </w:r>
    </w:p>
    <w:p w14:paraId="4AA277F3" w14:textId="77777777" w:rsidR="007B15E1" w:rsidRDefault="003A100C" w:rsidP="003A100C">
      <w:pPr>
        <w:tabs>
          <w:tab w:val="left" w:pos="426"/>
        </w:tabs>
        <w:jc w:val="both"/>
        <w:rPr>
          <w:rFonts w:ascii="Verdana" w:hAnsi="Verdana"/>
          <w:sz w:val="18"/>
          <w:szCs w:val="18"/>
        </w:rPr>
      </w:pPr>
      <w:r w:rsidRPr="003A100C">
        <w:rPr>
          <w:rFonts w:ascii="Verdana" w:hAnsi="Verdana"/>
          <w:sz w:val="18"/>
          <w:szCs w:val="18"/>
        </w:rPr>
        <w:lastRenderedPageBreak/>
        <w:t>2.</w:t>
      </w:r>
      <w:r>
        <w:rPr>
          <w:rFonts w:ascii="Verdana" w:hAnsi="Verdana"/>
          <w:sz w:val="18"/>
          <w:szCs w:val="18"/>
        </w:rPr>
        <w:tab/>
      </w:r>
      <w:r w:rsidRPr="003A100C">
        <w:rPr>
          <w:rFonts w:ascii="Verdana" w:hAnsi="Verdana"/>
          <w:sz w:val="18"/>
          <w:szCs w:val="18"/>
        </w:rPr>
        <w:t xml:space="preserve">Il decreto di abbreviazione del termine, redatto in calce alla domanda, </w:t>
      </w:r>
      <w:r>
        <w:rPr>
          <w:rFonts w:ascii="Verdana" w:hAnsi="Verdana"/>
          <w:sz w:val="18"/>
          <w:szCs w:val="18"/>
        </w:rPr>
        <w:t>è</w:t>
      </w:r>
      <w:r w:rsidRPr="003A100C">
        <w:rPr>
          <w:rFonts w:ascii="Verdana" w:hAnsi="Verdana"/>
          <w:sz w:val="18"/>
          <w:szCs w:val="18"/>
        </w:rPr>
        <w:t xml:space="preserve"> notificato, a cura della parte che lo ha richiesto, all'amministrazione intimata e ai controinteressati; il termine abbreviato comincia a decorrere dall'avvenuta notificazione del decreto.</w:t>
      </w:r>
    </w:p>
    <w:p w14:paraId="55E0718E" w14:textId="77777777" w:rsidR="003A100C" w:rsidRPr="003A100C" w:rsidRDefault="003A100C" w:rsidP="003A100C">
      <w:pPr>
        <w:tabs>
          <w:tab w:val="left" w:pos="426"/>
        </w:tabs>
        <w:spacing w:after="0"/>
        <w:jc w:val="both"/>
        <w:rPr>
          <w:rFonts w:ascii="Verdana" w:hAnsi="Verdana" w:cs="Arial"/>
          <w:sz w:val="18"/>
          <w:szCs w:val="18"/>
        </w:rPr>
      </w:pPr>
    </w:p>
    <w:p w14:paraId="1E712AFB" w14:textId="77777777"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54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Deposito tardivo di memorie e documenti e sospensione dei termini </w:t>
      </w:r>
    </w:p>
    <w:p w14:paraId="768AA337" w14:textId="77777777"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La presentazione tardiva di memorie o docu</w:t>
      </w:r>
      <w:r w:rsidR="003A100C">
        <w:rPr>
          <w:rFonts w:ascii="Verdana" w:hAnsi="Verdana"/>
          <w:sz w:val="18"/>
          <w:szCs w:val="18"/>
        </w:rPr>
        <w:t>menti può</w:t>
      </w:r>
      <w:r w:rsidR="003A100C" w:rsidRPr="003A100C">
        <w:rPr>
          <w:rFonts w:ascii="Verdana" w:hAnsi="Verdana"/>
          <w:sz w:val="18"/>
          <w:szCs w:val="18"/>
        </w:rPr>
        <w:t xml:space="preserve"> essere eccezionalmente autorizzata, su richiesta di parte, dal collegio, assicurando comunque il pieno rispetto del diritto delle controparti al contraddittorio su tali atti, qualora la produzione nel termine di legge sia risultata estremamente difficile. </w:t>
      </w:r>
    </w:p>
    <w:p w14:paraId="3FA4727C" w14:textId="77777777"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Pr>
          <w:rFonts w:ascii="Verdana" w:hAnsi="Verdana"/>
          <w:sz w:val="18"/>
          <w:szCs w:val="18"/>
        </w:rPr>
        <w:tab/>
      </w:r>
      <w:r w:rsidRPr="003A100C">
        <w:rPr>
          <w:rFonts w:ascii="Verdana" w:hAnsi="Verdana"/>
          <w:sz w:val="18"/>
          <w:szCs w:val="18"/>
        </w:rPr>
        <w:t>I termini processuali</w:t>
      </w:r>
      <w:r>
        <w:rPr>
          <w:rFonts w:ascii="Verdana" w:hAnsi="Verdana"/>
          <w:sz w:val="18"/>
          <w:szCs w:val="18"/>
        </w:rPr>
        <w:t xml:space="preserve"> sono sospesi dal 1° agosto al </w:t>
      </w:r>
      <w:r w:rsidRPr="003A100C">
        <w:rPr>
          <w:rFonts w:ascii="Verdana" w:hAnsi="Verdana"/>
          <w:sz w:val="18"/>
          <w:szCs w:val="18"/>
        </w:rPr>
        <w:t>31 agosto</w:t>
      </w:r>
      <w:r>
        <w:rPr>
          <w:rFonts w:ascii="Verdana" w:hAnsi="Verdana"/>
          <w:sz w:val="18"/>
          <w:szCs w:val="18"/>
        </w:rPr>
        <w:t xml:space="preserve"> di ciascun anno</w:t>
      </w:r>
      <w:r>
        <w:rPr>
          <w:rStyle w:val="Rimandonotaapidipagina"/>
          <w:rFonts w:ascii="Verdana" w:hAnsi="Verdana"/>
          <w:sz w:val="18"/>
          <w:szCs w:val="18"/>
        </w:rPr>
        <w:footnoteReference w:id="2"/>
      </w:r>
      <w:r>
        <w:rPr>
          <w:rFonts w:ascii="Verdana" w:hAnsi="Verdana"/>
          <w:sz w:val="18"/>
          <w:szCs w:val="18"/>
        </w:rPr>
        <w:t>.</w:t>
      </w:r>
    </w:p>
    <w:p w14:paraId="22C8E27B" w14:textId="77777777" w:rsidR="003A100C" w:rsidRDefault="003A100C" w:rsidP="003A100C">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3A100C">
        <w:rPr>
          <w:rFonts w:ascii="Verdana" w:hAnsi="Verdana"/>
          <w:sz w:val="18"/>
          <w:szCs w:val="18"/>
        </w:rPr>
        <w:t>La sospensione dei termini prevista dal comma 2 non si applica al procedimento cautelare.</w:t>
      </w:r>
    </w:p>
    <w:p w14:paraId="0FA53D96" w14:textId="77777777" w:rsidR="004A212F" w:rsidRPr="007B15E1" w:rsidRDefault="004A212F" w:rsidP="007B15E1">
      <w:pPr>
        <w:tabs>
          <w:tab w:val="left" w:pos="426"/>
        </w:tabs>
        <w:jc w:val="both"/>
        <w:rPr>
          <w:rFonts w:ascii="Verdana" w:hAnsi="Verdana"/>
          <w:sz w:val="18"/>
          <w:szCs w:val="18"/>
        </w:rPr>
      </w:pPr>
    </w:p>
    <w:p w14:paraId="5138601C" w14:textId="77777777" w:rsidR="004A212F" w:rsidRPr="004B7716" w:rsidRDefault="004A212F" w:rsidP="004A212F">
      <w:pPr>
        <w:tabs>
          <w:tab w:val="left" w:pos="426"/>
        </w:tabs>
        <w:spacing w:after="40"/>
        <w:jc w:val="center"/>
        <w:rPr>
          <w:rFonts w:ascii="Verdana" w:hAnsi="Verdana" w:cs="Arial"/>
          <w:b/>
          <w:color w:val="993366"/>
          <w:sz w:val="18"/>
          <w:szCs w:val="18"/>
        </w:rPr>
      </w:pPr>
      <w:r w:rsidRPr="004B7716">
        <w:rPr>
          <w:rFonts w:ascii="Verdana" w:hAnsi="Verdana" w:cs="Arial"/>
          <w:b/>
          <w:color w:val="993366"/>
          <w:sz w:val="18"/>
          <w:szCs w:val="18"/>
        </w:rPr>
        <w:t>TITOLO I</w:t>
      </w:r>
      <w:r>
        <w:rPr>
          <w:rFonts w:ascii="Verdana" w:hAnsi="Verdana" w:cs="Arial"/>
          <w:b/>
          <w:color w:val="993366"/>
          <w:sz w:val="18"/>
          <w:szCs w:val="18"/>
        </w:rPr>
        <w:t>I-IX</w:t>
      </w:r>
    </w:p>
    <w:p w14:paraId="7ACBE9FC" w14:textId="77777777" w:rsidR="004A212F" w:rsidRPr="004B7716" w:rsidRDefault="004A212F" w:rsidP="004A212F">
      <w:pPr>
        <w:tabs>
          <w:tab w:val="left" w:pos="426"/>
        </w:tabs>
        <w:jc w:val="center"/>
        <w:rPr>
          <w:rFonts w:ascii="Verdana" w:hAnsi="Verdana" w:cs="Arial"/>
          <w:i/>
          <w:sz w:val="18"/>
          <w:szCs w:val="18"/>
        </w:rPr>
      </w:pPr>
      <w:r>
        <w:rPr>
          <w:rFonts w:ascii="Verdana" w:hAnsi="Verdana" w:cs="Arial"/>
          <w:i/>
          <w:sz w:val="18"/>
          <w:szCs w:val="18"/>
        </w:rPr>
        <w:t>Omissis</w:t>
      </w:r>
    </w:p>
    <w:p w14:paraId="7BDC6440" w14:textId="77777777" w:rsidR="007B15E1" w:rsidRPr="007B15E1" w:rsidRDefault="007B15E1" w:rsidP="007B15E1">
      <w:pPr>
        <w:tabs>
          <w:tab w:val="left" w:pos="426"/>
        </w:tabs>
        <w:jc w:val="both"/>
        <w:rPr>
          <w:rFonts w:ascii="Verdana" w:hAnsi="Verdana"/>
          <w:sz w:val="18"/>
          <w:szCs w:val="18"/>
        </w:rPr>
      </w:pPr>
    </w:p>
    <w:p w14:paraId="50FEE741" w14:textId="77777777" w:rsidR="004A212F" w:rsidRDefault="004A212F" w:rsidP="004A212F">
      <w:pPr>
        <w:tabs>
          <w:tab w:val="left" w:pos="426"/>
        </w:tabs>
        <w:spacing w:after="40"/>
        <w:jc w:val="center"/>
        <w:rPr>
          <w:rFonts w:ascii="Verdana" w:hAnsi="Verdana" w:cs="Arial"/>
          <w:b/>
          <w:color w:val="5F497A" w:themeColor="accent4" w:themeShade="BF"/>
          <w:sz w:val="18"/>
          <w:szCs w:val="18"/>
        </w:rPr>
      </w:pPr>
      <w:r>
        <w:rPr>
          <w:rFonts w:ascii="Verdana" w:hAnsi="Verdana" w:cs="Arial"/>
          <w:b/>
          <w:color w:val="5F497A" w:themeColor="accent4" w:themeShade="BF"/>
          <w:sz w:val="18"/>
          <w:szCs w:val="18"/>
        </w:rPr>
        <w:t>LIBRO TERZO</w:t>
      </w:r>
    </w:p>
    <w:p w14:paraId="5DFA9A21" w14:textId="77777777" w:rsidR="004A212F" w:rsidRDefault="004A212F" w:rsidP="004A212F">
      <w:pPr>
        <w:tabs>
          <w:tab w:val="left" w:pos="426"/>
        </w:tabs>
        <w:jc w:val="center"/>
        <w:rPr>
          <w:rFonts w:ascii="Verdana" w:hAnsi="Verdana" w:cs="Arial"/>
          <w:i/>
          <w:sz w:val="18"/>
          <w:szCs w:val="18"/>
        </w:rPr>
      </w:pPr>
      <w:r>
        <w:rPr>
          <w:rFonts w:ascii="Verdana" w:hAnsi="Verdana" w:cs="Arial"/>
          <w:i/>
          <w:sz w:val="18"/>
          <w:szCs w:val="18"/>
        </w:rPr>
        <w:t>Omissis</w:t>
      </w:r>
    </w:p>
    <w:p w14:paraId="71F7C4F1" w14:textId="77777777" w:rsidR="004A212F" w:rsidRPr="004A212F" w:rsidRDefault="004A212F" w:rsidP="004A212F">
      <w:pPr>
        <w:tabs>
          <w:tab w:val="left" w:pos="426"/>
        </w:tabs>
        <w:jc w:val="center"/>
        <w:rPr>
          <w:rFonts w:ascii="Verdana" w:hAnsi="Verdana" w:cs="Arial"/>
          <w:i/>
          <w:sz w:val="18"/>
          <w:szCs w:val="18"/>
        </w:rPr>
      </w:pPr>
    </w:p>
    <w:p w14:paraId="494B5367" w14:textId="77777777" w:rsidR="007B15E1" w:rsidRPr="004A212F" w:rsidRDefault="007B15E1" w:rsidP="004A212F">
      <w:pPr>
        <w:tabs>
          <w:tab w:val="left" w:pos="426"/>
        </w:tabs>
        <w:spacing w:after="40"/>
        <w:jc w:val="center"/>
        <w:rPr>
          <w:rFonts w:ascii="Verdana" w:hAnsi="Verdana" w:cs="Arial"/>
          <w:b/>
          <w:color w:val="5F497A" w:themeColor="accent4" w:themeShade="BF"/>
          <w:sz w:val="18"/>
          <w:szCs w:val="18"/>
        </w:rPr>
      </w:pPr>
      <w:r w:rsidRPr="004A212F">
        <w:rPr>
          <w:rFonts w:ascii="Verdana" w:hAnsi="Verdana" w:cs="Arial"/>
          <w:b/>
          <w:color w:val="5F497A" w:themeColor="accent4" w:themeShade="BF"/>
          <w:sz w:val="18"/>
          <w:szCs w:val="18"/>
        </w:rPr>
        <w:t>LIBRO QUARTO</w:t>
      </w:r>
    </w:p>
    <w:p w14:paraId="69CB6803" w14:textId="77777777" w:rsidR="007B15E1" w:rsidRPr="004A212F" w:rsidRDefault="004A212F" w:rsidP="004A212F">
      <w:pPr>
        <w:tabs>
          <w:tab w:val="left" w:pos="426"/>
        </w:tabs>
        <w:jc w:val="center"/>
        <w:rPr>
          <w:rFonts w:ascii="Verdana" w:hAnsi="Verdana" w:cs="Arial"/>
          <w:i/>
          <w:sz w:val="18"/>
          <w:szCs w:val="18"/>
        </w:rPr>
      </w:pPr>
      <w:r w:rsidRPr="004A212F">
        <w:rPr>
          <w:rFonts w:ascii="Verdana" w:hAnsi="Verdana" w:cs="Arial"/>
          <w:i/>
          <w:sz w:val="18"/>
          <w:szCs w:val="18"/>
        </w:rPr>
        <w:t>Ottemperanza e riti speciali</w:t>
      </w:r>
    </w:p>
    <w:p w14:paraId="3B6233E0" w14:textId="77777777" w:rsidR="004A212F" w:rsidRPr="004A212F" w:rsidRDefault="004A212F" w:rsidP="004A212F">
      <w:pPr>
        <w:tabs>
          <w:tab w:val="left" w:pos="426"/>
        </w:tabs>
        <w:spacing w:after="40"/>
        <w:jc w:val="center"/>
        <w:rPr>
          <w:rFonts w:ascii="Verdana" w:hAnsi="Verdana" w:cs="Arial"/>
          <w:b/>
          <w:color w:val="993366"/>
          <w:sz w:val="18"/>
          <w:szCs w:val="18"/>
        </w:rPr>
      </w:pPr>
      <w:r w:rsidRPr="004A212F">
        <w:rPr>
          <w:rFonts w:ascii="Verdana" w:hAnsi="Verdana" w:cs="Arial"/>
          <w:b/>
          <w:color w:val="993366"/>
          <w:sz w:val="18"/>
          <w:szCs w:val="18"/>
        </w:rPr>
        <w:t>Titolo I-V</w:t>
      </w:r>
    </w:p>
    <w:p w14:paraId="416CEAB9" w14:textId="77777777" w:rsidR="007B15E1" w:rsidRDefault="007B15E1" w:rsidP="004A212F">
      <w:pPr>
        <w:tabs>
          <w:tab w:val="left" w:pos="426"/>
        </w:tabs>
        <w:jc w:val="center"/>
        <w:rPr>
          <w:rFonts w:ascii="Verdana" w:hAnsi="Verdana"/>
          <w:i/>
          <w:sz w:val="18"/>
          <w:szCs w:val="18"/>
        </w:rPr>
      </w:pPr>
      <w:r w:rsidRPr="004A212F">
        <w:rPr>
          <w:rFonts w:ascii="Verdana" w:hAnsi="Verdana"/>
          <w:i/>
          <w:sz w:val="18"/>
          <w:szCs w:val="18"/>
        </w:rPr>
        <w:t>Omissis</w:t>
      </w:r>
    </w:p>
    <w:p w14:paraId="0A758697" w14:textId="77777777" w:rsidR="004A212F" w:rsidRPr="004A212F" w:rsidRDefault="004A212F" w:rsidP="004A212F">
      <w:pPr>
        <w:tabs>
          <w:tab w:val="left" w:pos="426"/>
        </w:tabs>
        <w:jc w:val="center"/>
        <w:rPr>
          <w:rFonts w:ascii="Verdana" w:hAnsi="Verdana"/>
          <w:i/>
          <w:sz w:val="18"/>
          <w:szCs w:val="18"/>
        </w:rPr>
      </w:pPr>
    </w:p>
    <w:p w14:paraId="59B8F7FD" w14:textId="77777777" w:rsidR="007B15E1" w:rsidRPr="004A212F" w:rsidRDefault="007B15E1" w:rsidP="004A212F">
      <w:pPr>
        <w:tabs>
          <w:tab w:val="left" w:pos="426"/>
        </w:tabs>
        <w:spacing w:after="40"/>
        <w:jc w:val="center"/>
        <w:rPr>
          <w:rFonts w:ascii="Verdana" w:hAnsi="Verdana" w:cs="Arial"/>
          <w:b/>
          <w:color w:val="993366"/>
          <w:sz w:val="18"/>
          <w:szCs w:val="18"/>
        </w:rPr>
      </w:pPr>
      <w:r w:rsidRPr="004A212F">
        <w:rPr>
          <w:rFonts w:ascii="Verdana" w:hAnsi="Verdana" w:cs="Arial"/>
          <w:b/>
          <w:color w:val="993366"/>
          <w:sz w:val="18"/>
          <w:szCs w:val="18"/>
        </w:rPr>
        <w:t>Titolo VI</w:t>
      </w:r>
    </w:p>
    <w:p w14:paraId="280E9A66" w14:textId="77777777" w:rsidR="007B15E1" w:rsidRPr="004A212F" w:rsidRDefault="007B15E1" w:rsidP="004A212F">
      <w:pPr>
        <w:tabs>
          <w:tab w:val="left" w:pos="426"/>
        </w:tabs>
        <w:jc w:val="center"/>
        <w:rPr>
          <w:rFonts w:ascii="Verdana" w:hAnsi="Verdana"/>
          <w:i/>
          <w:sz w:val="18"/>
          <w:szCs w:val="18"/>
        </w:rPr>
      </w:pPr>
      <w:r w:rsidRPr="004A212F">
        <w:rPr>
          <w:rFonts w:ascii="Verdana" w:hAnsi="Verdana"/>
          <w:i/>
          <w:sz w:val="18"/>
          <w:szCs w:val="18"/>
        </w:rPr>
        <w:t>Contenzioso sulle operazioni elettorali</w:t>
      </w:r>
    </w:p>
    <w:p w14:paraId="53460DB3" w14:textId="77777777" w:rsidR="007B15E1" w:rsidRPr="004A212F" w:rsidRDefault="004A212F" w:rsidP="007B15E1">
      <w:pPr>
        <w:tabs>
          <w:tab w:val="left" w:pos="426"/>
        </w:tabs>
        <w:jc w:val="both"/>
        <w:rPr>
          <w:rFonts w:ascii="Verdana" w:hAnsi="Verdana" w:cs="Arial"/>
          <w:b/>
          <w:i/>
          <w:sz w:val="18"/>
          <w:szCs w:val="18"/>
        </w:rPr>
      </w:pPr>
      <w:r w:rsidRPr="004A212F">
        <w:rPr>
          <w:rFonts w:ascii="Verdana" w:hAnsi="Verdana" w:cs="Arial"/>
          <w:b/>
          <w:i/>
          <w:sz w:val="18"/>
          <w:szCs w:val="18"/>
        </w:rPr>
        <w:t>CAPO I</w:t>
      </w:r>
    </w:p>
    <w:p w14:paraId="41887347" w14:textId="77777777"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Disposizioni comuni al contenzioso elettorale</w:t>
      </w:r>
    </w:p>
    <w:p w14:paraId="2ABB502C" w14:textId="77777777"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126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Ambito della giurisdizione sul contenzioso elettorale </w:t>
      </w:r>
    </w:p>
    <w:p w14:paraId="6EFF789B" w14:textId="77777777" w:rsidR="007B15E1" w:rsidRPr="007B15E1" w:rsidRDefault="007B15E1" w:rsidP="007B15E1">
      <w:pPr>
        <w:tabs>
          <w:tab w:val="left" w:pos="426"/>
        </w:tabs>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Il giudice amministrativo ha giurisdizione in materia di operazioni elettorali relative al rinnovo degli organi elettivi dei comuni, delle province, delle regioni e all'elezione dei membri del Parlamento europeo spettanti all'Italia.</w:t>
      </w:r>
    </w:p>
    <w:p w14:paraId="59C2BD3B" w14:textId="77777777" w:rsidR="007B15E1" w:rsidRPr="004A212F" w:rsidRDefault="007B15E1" w:rsidP="004A212F">
      <w:pPr>
        <w:tabs>
          <w:tab w:val="left" w:pos="426"/>
        </w:tabs>
        <w:spacing w:after="0"/>
        <w:jc w:val="both"/>
        <w:rPr>
          <w:rFonts w:ascii="Verdana" w:hAnsi="Verdana" w:cs="Arial"/>
          <w:sz w:val="18"/>
          <w:szCs w:val="18"/>
        </w:rPr>
      </w:pPr>
    </w:p>
    <w:p w14:paraId="1EE26211" w14:textId="77777777"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127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Esenzione dagli oneri fiscali </w:t>
      </w:r>
    </w:p>
    <w:p w14:paraId="6DD8F3A6" w14:textId="77777777" w:rsidR="007B15E1" w:rsidRPr="007B15E1" w:rsidRDefault="007B15E1" w:rsidP="007B15E1">
      <w:pPr>
        <w:tabs>
          <w:tab w:val="left" w:pos="426"/>
        </w:tabs>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Gli atti sono esenti dal contributo unificato e da ogni altro onere fiscale.</w:t>
      </w:r>
    </w:p>
    <w:p w14:paraId="37082077" w14:textId="77777777" w:rsidR="007B15E1" w:rsidRPr="004A212F" w:rsidRDefault="007B15E1" w:rsidP="004A212F">
      <w:pPr>
        <w:tabs>
          <w:tab w:val="left" w:pos="426"/>
        </w:tabs>
        <w:spacing w:after="0"/>
        <w:jc w:val="both"/>
        <w:rPr>
          <w:rFonts w:ascii="Verdana" w:hAnsi="Verdana" w:cs="Arial"/>
          <w:sz w:val="18"/>
          <w:szCs w:val="18"/>
        </w:rPr>
      </w:pPr>
    </w:p>
    <w:p w14:paraId="4DD24421" w14:textId="77777777"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lastRenderedPageBreak/>
        <w:t xml:space="preserve">Art. 128 </w:t>
      </w:r>
      <w:r w:rsidR="004A212F">
        <w:rPr>
          <w:rFonts w:ascii="Verdana" w:hAnsi="Verdana" w:cs="Arial"/>
          <w:b/>
          <w:color w:val="1F497D" w:themeColor="text2"/>
          <w:sz w:val="18"/>
          <w:szCs w:val="18"/>
        </w:rPr>
        <w:t xml:space="preserve">- </w:t>
      </w:r>
      <w:r w:rsidRPr="004A212F">
        <w:rPr>
          <w:rFonts w:ascii="Verdana" w:hAnsi="Verdana" w:cs="Arial"/>
          <w:b/>
          <w:color w:val="1F497D" w:themeColor="text2"/>
          <w:sz w:val="18"/>
          <w:szCs w:val="18"/>
        </w:rPr>
        <w:t>Inammissibilit</w:t>
      </w:r>
      <w:r w:rsidR="00082517">
        <w:rPr>
          <w:rFonts w:ascii="Verdana" w:hAnsi="Verdana" w:cs="Arial"/>
          <w:b/>
          <w:color w:val="1F497D" w:themeColor="text2"/>
          <w:sz w:val="18"/>
          <w:szCs w:val="18"/>
        </w:rPr>
        <w:t>à</w:t>
      </w:r>
      <w:r w:rsidRPr="004A212F">
        <w:rPr>
          <w:rFonts w:ascii="Verdana" w:hAnsi="Verdana" w:cs="Arial"/>
          <w:b/>
          <w:color w:val="1F497D" w:themeColor="text2"/>
          <w:sz w:val="18"/>
          <w:szCs w:val="18"/>
        </w:rPr>
        <w:t xml:space="preserve"> del ricorso straordinario al Presidente della Repubblica </w:t>
      </w:r>
    </w:p>
    <w:p w14:paraId="168C8A18" w14:textId="77777777" w:rsidR="007B15E1" w:rsidRPr="007B15E1" w:rsidRDefault="007B15E1" w:rsidP="007B15E1">
      <w:pPr>
        <w:tabs>
          <w:tab w:val="left" w:pos="426"/>
        </w:tabs>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Nella materia</w:t>
      </w:r>
      <w:r w:rsidR="003A100C">
        <w:rPr>
          <w:rFonts w:ascii="Verdana" w:hAnsi="Verdana"/>
          <w:sz w:val="18"/>
          <w:szCs w:val="18"/>
        </w:rPr>
        <w:t xml:space="preserve"> di cui al presente Titolo non è</w:t>
      </w:r>
      <w:r w:rsidR="003A100C" w:rsidRPr="003A100C">
        <w:rPr>
          <w:rFonts w:ascii="Verdana" w:hAnsi="Verdana"/>
          <w:sz w:val="18"/>
          <w:szCs w:val="18"/>
        </w:rPr>
        <w:t xml:space="preserve"> ammesso il ricorso straordinario al Presidente della Repubblica.</w:t>
      </w:r>
    </w:p>
    <w:p w14:paraId="289A87F9" w14:textId="77777777" w:rsidR="007B15E1" w:rsidRPr="007B15E1" w:rsidRDefault="007B15E1" w:rsidP="007B15E1">
      <w:pPr>
        <w:tabs>
          <w:tab w:val="left" w:pos="426"/>
        </w:tabs>
        <w:jc w:val="both"/>
        <w:rPr>
          <w:rFonts w:ascii="Verdana" w:hAnsi="Verdana"/>
          <w:sz w:val="18"/>
          <w:szCs w:val="18"/>
        </w:rPr>
      </w:pPr>
    </w:p>
    <w:p w14:paraId="4B5F1959" w14:textId="77777777" w:rsidR="007B15E1" w:rsidRPr="004A212F" w:rsidRDefault="004A212F" w:rsidP="007B15E1">
      <w:pPr>
        <w:tabs>
          <w:tab w:val="left" w:pos="426"/>
        </w:tabs>
        <w:jc w:val="both"/>
        <w:rPr>
          <w:rFonts w:ascii="Verdana" w:hAnsi="Verdana"/>
          <w:b/>
          <w:i/>
          <w:sz w:val="18"/>
          <w:szCs w:val="18"/>
        </w:rPr>
      </w:pPr>
      <w:r w:rsidRPr="004A212F">
        <w:rPr>
          <w:rFonts w:ascii="Verdana" w:hAnsi="Verdana"/>
          <w:b/>
          <w:i/>
          <w:sz w:val="18"/>
          <w:szCs w:val="18"/>
        </w:rPr>
        <w:t>CAPO II</w:t>
      </w:r>
    </w:p>
    <w:p w14:paraId="1A5C4686" w14:textId="77777777"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Tutela anticipata avverso gli atti di esclusione dai procedimenti elettorali preparatori per le elezioni comunali, provinciali e regionali</w:t>
      </w:r>
    </w:p>
    <w:p w14:paraId="610A3854" w14:textId="77777777" w:rsidR="007B15E1" w:rsidRPr="007B15E1" w:rsidRDefault="007B15E1" w:rsidP="004A212F">
      <w:pPr>
        <w:tabs>
          <w:tab w:val="left" w:pos="426"/>
        </w:tabs>
        <w:spacing w:after="0"/>
        <w:jc w:val="both"/>
        <w:rPr>
          <w:rFonts w:ascii="Verdana" w:hAnsi="Verdana"/>
          <w:sz w:val="18"/>
          <w:szCs w:val="18"/>
        </w:rPr>
      </w:pPr>
      <w:r w:rsidRPr="004A212F">
        <w:rPr>
          <w:rFonts w:ascii="Verdana" w:hAnsi="Verdana" w:cs="Arial"/>
          <w:b/>
          <w:color w:val="1F497D" w:themeColor="text2"/>
          <w:sz w:val="18"/>
          <w:szCs w:val="18"/>
        </w:rPr>
        <w:t xml:space="preserve">Art. 129 </w:t>
      </w:r>
      <w:r w:rsidR="004A212F">
        <w:rPr>
          <w:rFonts w:ascii="Verdana" w:hAnsi="Verdana" w:cs="Arial"/>
          <w:b/>
          <w:color w:val="1F497D" w:themeColor="text2"/>
          <w:sz w:val="18"/>
          <w:szCs w:val="18"/>
        </w:rPr>
        <w:t xml:space="preserve">- </w:t>
      </w:r>
      <w:r w:rsidRPr="004A212F">
        <w:rPr>
          <w:rFonts w:ascii="Verdana" w:hAnsi="Verdana" w:cs="Arial"/>
          <w:b/>
          <w:color w:val="1F497D" w:themeColor="text2"/>
          <w:sz w:val="18"/>
          <w:szCs w:val="18"/>
        </w:rPr>
        <w:t>Giudizio avverso gli atti di esclusione dal procedimento preparatorio per le elezioni co</w:t>
      </w:r>
      <w:r w:rsidR="004A212F">
        <w:rPr>
          <w:rFonts w:ascii="Verdana" w:hAnsi="Verdana" w:cs="Arial"/>
          <w:b/>
          <w:color w:val="1F497D" w:themeColor="text2"/>
          <w:sz w:val="18"/>
          <w:szCs w:val="18"/>
        </w:rPr>
        <w:t>munali, provinciali e regionali</w:t>
      </w:r>
    </w:p>
    <w:p w14:paraId="601FCA73" w14:textId="77777777" w:rsidR="003A100C"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I provvedimenti immediatamente lesivi del diritto del ricorrente a partecipare al procedimento elettorale preparatorio per le elezioni comunali, provinciali e regionali e per il rinnovo dei membri del Parlamento europeo spettanti all'Italia sono impugnabili innanzi al tribunale amministrativo regionale competente nel termine di tre giorni dalla pubblicazione, anche mediante affissione, ovvero dalla comunicazione, se prevista, degli atti impugnati.</w:t>
      </w:r>
    </w:p>
    <w:p w14:paraId="3EA6991C" w14:textId="77777777"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Pr>
          <w:rFonts w:ascii="Verdana" w:hAnsi="Verdana"/>
          <w:sz w:val="18"/>
          <w:szCs w:val="18"/>
        </w:rPr>
        <w:tab/>
      </w:r>
      <w:r w:rsidRPr="003A100C">
        <w:rPr>
          <w:rFonts w:ascii="Verdana" w:hAnsi="Verdana"/>
          <w:sz w:val="18"/>
          <w:szCs w:val="18"/>
        </w:rPr>
        <w:t xml:space="preserve">Gli atti diversi da quelli di cui al comma 1 sono impugnati alla conclusione del procedimento unitamente all'atto di proclamazione degli eletti. </w:t>
      </w:r>
    </w:p>
    <w:p w14:paraId="184CA044" w14:textId="77777777" w:rsidR="003A100C" w:rsidRDefault="003A100C" w:rsidP="003A100C">
      <w:pPr>
        <w:tabs>
          <w:tab w:val="left" w:pos="426"/>
        </w:tabs>
        <w:spacing w:after="60"/>
        <w:jc w:val="both"/>
        <w:rPr>
          <w:rFonts w:ascii="Verdana" w:hAnsi="Verdana"/>
          <w:sz w:val="18"/>
          <w:szCs w:val="18"/>
        </w:rPr>
      </w:pPr>
      <w:r w:rsidRPr="003A100C">
        <w:rPr>
          <w:rFonts w:ascii="Verdana" w:hAnsi="Verdana"/>
          <w:sz w:val="18"/>
          <w:szCs w:val="18"/>
        </w:rPr>
        <w:t>3.</w:t>
      </w:r>
      <w:r>
        <w:rPr>
          <w:rFonts w:ascii="Verdana" w:hAnsi="Verdana"/>
          <w:sz w:val="18"/>
          <w:szCs w:val="18"/>
        </w:rPr>
        <w:tab/>
      </w:r>
      <w:r w:rsidRPr="003A100C">
        <w:rPr>
          <w:rFonts w:ascii="Verdana" w:hAnsi="Verdana"/>
          <w:sz w:val="18"/>
          <w:szCs w:val="18"/>
        </w:rPr>
        <w:t xml:space="preserve">Il ricorso di cui al comma 1, nel termine ivi previsto, deve essere, a pena di decadenza: </w:t>
      </w:r>
    </w:p>
    <w:p w14:paraId="4EAD030E" w14:textId="77777777" w:rsidR="003A100C" w:rsidRDefault="003A100C" w:rsidP="003A100C">
      <w:pPr>
        <w:tabs>
          <w:tab w:val="left" w:pos="426"/>
        </w:tabs>
        <w:spacing w:after="60"/>
        <w:jc w:val="both"/>
        <w:rPr>
          <w:rFonts w:ascii="Verdana" w:hAnsi="Verdana"/>
          <w:sz w:val="18"/>
          <w:szCs w:val="18"/>
        </w:rPr>
      </w:pPr>
      <w:r w:rsidRPr="003A100C">
        <w:rPr>
          <w:rFonts w:ascii="Verdana" w:hAnsi="Verdana"/>
          <w:i/>
          <w:sz w:val="18"/>
          <w:szCs w:val="18"/>
        </w:rPr>
        <w:t>a)</w:t>
      </w:r>
      <w:r w:rsidRPr="003A100C">
        <w:rPr>
          <w:rFonts w:ascii="Verdana" w:hAnsi="Verdana"/>
          <w:sz w:val="18"/>
          <w:szCs w:val="18"/>
        </w:rPr>
        <w:t xml:space="preserve">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 </w:t>
      </w:r>
    </w:p>
    <w:p w14:paraId="5E5B0C52" w14:textId="77777777" w:rsidR="003A100C" w:rsidRDefault="003A100C" w:rsidP="003A100C">
      <w:pPr>
        <w:tabs>
          <w:tab w:val="left" w:pos="426"/>
        </w:tabs>
        <w:spacing w:after="120"/>
        <w:jc w:val="both"/>
        <w:rPr>
          <w:rFonts w:ascii="Verdana" w:hAnsi="Verdana"/>
          <w:sz w:val="18"/>
          <w:szCs w:val="18"/>
        </w:rPr>
      </w:pPr>
      <w:r w:rsidRPr="003A100C">
        <w:rPr>
          <w:rFonts w:ascii="Verdana" w:hAnsi="Verdana"/>
          <w:i/>
          <w:sz w:val="18"/>
          <w:szCs w:val="18"/>
        </w:rPr>
        <w:t>b)</w:t>
      </w:r>
      <w:r w:rsidRPr="003A100C">
        <w:rPr>
          <w:rFonts w:ascii="Verdana" w:hAnsi="Verdana"/>
          <w:sz w:val="18"/>
          <w:szCs w:val="18"/>
        </w:rPr>
        <w:t xml:space="preserve"> depositato presso la segreteria del tribunale adito, che provvede a pubblicarlo sul sito internet della giustizia amministrativa e ad affiggerlo in appositi spazi accessibili al pubblico. </w:t>
      </w:r>
    </w:p>
    <w:p w14:paraId="65F496A1" w14:textId="77777777"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4.</w:t>
      </w:r>
      <w:r>
        <w:rPr>
          <w:rFonts w:ascii="Verdana" w:hAnsi="Verdana"/>
          <w:sz w:val="18"/>
          <w:szCs w:val="18"/>
        </w:rPr>
        <w:tab/>
      </w:r>
      <w:r w:rsidRPr="003A100C">
        <w:rPr>
          <w:rFonts w:ascii="Verdana" w:hAnsi="Verdana"/>
          <w:sz w:val="18"/>
          <w:szCs w:val="18"/>
        </w:rPr>
        <w:t xml:space="preserve">Le parti , ove stiano in giudizio personalmente e non siano titolari di indirizzi di posta elettronica certificata risultanti dai pubblici elenchi, indicano, rispettivamente nel ricorso o negli atti di costituzione, l'indirizzo di posta elettronica certificata o il numero di fax da valere per ogni eventuale </w:t>
      </w:r>
      <w:r>
        <w:rPr>
          <w:rFonts w:ascii="Verdana" w:hAnsi="Verdana"/>
          <w:sz w:val="18"/>
          <w:szCs w:val="18"/>
        </w:rPr>
        <w:t>comunicazione e notificazione</w:t>
      </w:r>
      <w:r>
        <w:rPr>
          <w:rStyle w:val="Rimandonotaapidipagina"/>
          <w:rFonts w:ascii="Verdana" w:hAnsi="Verdana"/>
          <w:sz w:val="18"/>
          <w:szCs w:val="18"/>
        </w:rPr>
        <w:footnoteReference w:id="3"/>
      </w:r>
      <w:r>
        <w:rPr>
          <w:rFonts w:ascii="Verdana" w:hAnsi="Verdana"/>
          <w:sz w:val="18"/>
          <w:szCs w:val="18"/>
        </w:rPr>
        <w:t>.</w:t>
      </w:r>
      <w:r w:rsidRPr="003A100C">
        <w:rPr>
          <w:rFonts w:ascii="Verdana" w:hAnsi="Verdana"/>
          <w:sz w:val="18"/>
          <w:szCs w:val="18"/>
        </w:rPr>
        <w:t xml:space="preserve"> </w:t>
      </w:r>
    </w:p>
    <w:p w14:paraId="73438D74" w14:textId="77777777"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5.</w:t>
      </w:r>
      <w:r>
        <w:rPr>
          <w:rFonts w:ascii="Verdana" w:hAnsi="Verdana"/>
          <w:sz w:val="18"/>
          <w:szCs w:val="18"/>
        </w:rPr>
        <w:tab/>
      </w:r>
      <w:r w:rsidRPr="003A100C">
        <w:rPr>
          <w:rFonts w:ascii="Verdana" w:hAnsi="Verdana"/>
          <w:sz w:val="18"/>
          <w:szCs w:val="18"/>
        </w:rPr>
        <w:t>L'udienza di discussion</w:t>
      </w:r>
      <w:r>
        <w:rPr>
          <w:rFonts w:ascii="Verdana" w:hAnsi="Verdana"/>
          <w:sz w:val="18"/>
          <w:szCs w:val="18"/>
        </w:rPr>
        <w:t>e si celebra, senza possibilità</w:t>
      </w:r>
      <w:r w:rsidRPr="003A100C">
        <w:rPr>
          <w:rFonts w:ascii="Verdana" w:hAnsi="Verdana"/>
          <w:sz w:val="18"/>
          <w:szCs w:val="18"/>
        </w:rPr>
        <w:t xml:space="preserve"> di rinvio anche in presenza di ricorso incidentale, nel termine di tre giorni dal deposito del ricorso, senza avvisi. Alla notifica del ricorso incidentale si provvede con le forme previste per il ricorso principale. </w:t>
      </w:r>
    </w:p>
    <w:p w14:paraId="01969BB9" w14:textId="77777777"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6.</w:t>
      </w:r>
      <w:r>
        <w:rPr>
          <w:rFonts w:ascii="Verdana" w:hAnsi="Verdana"/>
          <w:sz w:val="18"/>
          <w:szCs w:val="18"/>
        </w:rPr>
        <w:tab/>
      </w:r>
      <w:r w:rsidRPr="003A100C">
        <w:rPr>
          <w:rFonts w:ascii="Verdana" w:hAnsi="Verdana"/>
          <w:sz w:val="18"/>
          <w:szCs w:val="18"/>
        </w:rPr>
        <w:t xml:space="preserve">Il giudizio </w:t>
      </w:r>
      <w:r>
        <w:rPr>
          <w:rFonts w:ascii="Verdana" w:hAnsi="Verdana"/>
          <w:sz w:val="18"/>
          <w:szCs w:val="18"/>
        </w:rPr>
        <w:t>è</w:t>
      </w:r>
      <w:r w:rsidRPr="003A100C">
        <w:rPr>
          <w:rFonts w:ascii="Verdana" w:hAnsi="Verdana"/>
          <w:sz w:val="18"/>
          <w:szCs w:val="18"/>
        </w:rPr>
        <w:t xml:space="preserve"> deciso all'esito dell'udienza con sentenza in forma semplificata, da pubblicarsi nello stesso gior</w:t>
      </w:r>
      <w:r>
        <w:rPr>
          <w:rFonts w:ascii="Verdana" w:hAnsi="Verdana"/>
          <w:sz w:val="18"/>
          <w:szCs w:val="18"/>
        </w:rPr>
        <w:t>no. La relativa motivazione può</w:t>
      </w:r>
      <w:r w:rsidRPr="003A100C">
        <w:rPr>
          <w:rFonts w:ascii="Verdana" w:hAnsi="Verdana"/>
          <w:sz w:val="18"/>
          <w:szCs w:val="18"/>
        </w:rPr>
        <w:t xml:space="preserve"> consistere anche in un mero richiamo delle argomentazioni contenute negli scritti delle parti che il giudice ha inteso accogliere e fare proprie.</w:t>
      </w:r>
      <w:r>
        <w:rPr>
          <w:rFonts w:ascii="Verdana" w:hAnsi="Verdana"/>
          <w:sz w:val="18"/>
          <w:szCs w:val="18"/>
        </w:rPr>
        <w:t xml:space="preserve"> </w:t>
      </w:r>
    </w:p>
    <w:p w14:paraId="09E0AFFF" w14:textId="77777777" w:rsidR="003A100C" w:rsidRDefault="003A100C" w:rsidP="003A100C">
      <w:pPr>
        <w:tabs>
          <w:tab w:val="left" w:pos="426"/>
        </w:tabs>
        <w:spacing w:after="120"/>
        <w:jc w:val="both"/>
        <w:rPr>
          <w:rFonts w:ascii="Verdana" w:hAnsi="Verdana"/>
          <w:sz w:val="18"/>
          <w:szCs w:val="18"/>
        </w:rPr>
      </w:pPr>
      <w:r>
        <w:rPr>
          <w:rFonts w:ascii="Verdana" w:hAnsi="Verdana"/>
          <w:sz w:val="18"/>
          <w:szCs w:val="18"/>
        </w:rPr>
        <w:lastRenderedPageBreak/>
        <w:t>7.</w:t>
      </w:r>
      <w:r>
        <w:rPr>
          <w:rFonts w:ascii="Verdana" w:hAnsi="Verdana"/>
          <w:sz w:val="18"/>
          <w:szCs w:val="18"/>
        </w:rPr>
        <w:tab/>
        <w:t>La sentenza non appellata è</w:t>
      </w:r>
      <w:r w:rsidRPr="003A100C">
        <w:rPr>
          <w:rFonts w:ascii="Verdana" w:hAnsi="Verdana"/>
          <w:sz w:val="18"/>
          <w:szCs w:val="18"/>
        </w:rPr>
        <w:t xml:space="preserve"> comunicata senza indugio dalla segreteria del tribunale all'ufficio che ha emanato l'atto impugnato. </w:t>
      </w:r>
    </w:p>
    <w:p w14:paraId="0BCC8E6D" w14:textId="77777777" w:rsidR="003A100C" w:rsidRDefault="003A100C" w:rsidP="003A100C">
      <w:pPr>
        <w:tabs>
          <w:tab w:val="left" w:pos="426"/>
        </w:tabs>
        <w:spacing w:after="60"/>
        <w:jc w:val="both"/>
        <w:rPr>
          <w:rFonts w:ascii="Verdana" w:hAnsi="Verdana"/>
          <w:sz w:val="18"/>
          <w:szCs w:val="18"/>
        </w:rPr>
      </w:pPr>
      <w:r w:rsidRPr="003A100C">
        <w:rPr>
          <w:rFonts w:ascii="Verdana" w:hAnsi="Verdana"/>
          <w:sz w:val="18"/>
          <w:szCs w:val="18"/>
        </w:rPr>
        <w:t>8.</w:t>
      </w:r>
      <w:r>
        <w:rPr>
          <w:rFonts w:ascii="Verdana" w:hAnsi="Verdana"/>
          <w:sz w:val="18"/>
          <w:szCs w:val="18"/>
        </w:rPr>
        <w:tab/>
      </w:r>
      <w:r w:rsidRPr="003A100C">
        <w:rPr>
          <w:rFonts w:ascii="Verdana" w:hAnsi="Verdana"/>
          <w:sz w:val="18"/>
          <w:szCs w:val="18"/>
        </w:rPr>
        <w:t xml:space="preserve">Il ricorso di appello, nel termine di due giorni dalla pubblicazione della sentenza, deve essere, a pena di decadenza: </w:t>
      </w:r>
    </w:p>
    <w:p w14:paraId="4180A0D6" w14:textId="77777777" w:rsidR="003A100C" w:rsidRDefault="003A100C" w:rsidP="003A100C">
      <w:pPr>
        <w:tabs>
          <w:tab w:val="left" w:pos="426"/>
        </w:tabs>
        <w:spacing w:after="60"/>
        <w:jc w:val="both"/>
        <w:rPr>
          <w:rFonts w:ascii="Verdana" w:hAnsi="Verdana"/>
          <w:sz w:val="18"/>
          <w:szCs w:val="18"/>
        </w:rPr>
      </w:pPr>
      <w:r w:rsidRPr="003A100C">
        <w:rPr>
          <w:rFonts w:ascii="Verdana" w:hAnsi="Verdana"/>
          <w:i/>
          <w:sz w:val="18"/>
          <w:szCs w:val="18"/>
        </w:rPr>
        <w:t>a)</w:t>
      </w:r>
      <w:r w:rsidRPr="003A100C">
        <w:rPr>
          <w:rFonts w:ascii="Verdana" w:hAnsi="Verdana"/>
          <w:sz w:val="18"/>
          <w:szCs w:val="18"/>
        </w:rPr>
        <w:t xml:space="preserve">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 per le parti costituite nel giudizio di primo grado la trasmissione si effettua presso l'indirizzo di posta elettronica certificata o il numero di fax indicato negli atti difensivi ai sensi del comma 4; </w:t>
      </w:r>
    </w:p>
    <w:p w14:paraId="7EA6FA88" w14:textId="77777777" w:rsidR="003A100C" w:rsidRDefault="003A100C" w:rsidP="003A100C">
      <w:pPr>
        <w:tabs>
          <w:tab w:val="left" w:pos="426"/>
        </w:tabs>
        <w:spacing w:after="60"/>
        <w:jc w:val="both"/>
        <w:rPr>
          <w:rFonts w:ascii="Verdana" w:hAnsi="Verdana"/>
          <w:sz w:val="18"/>
          <w:szCs w:val="18"/>
        </w:rPr>
      </w:pPr>
      <w:r w:rsidRPr="003A100C">
        <w:rPr>
          <w:rFonts w:ascii="Verdana" w:hAnsi="Verdana"/>
          <w:i/>
          <w:sz w:val="18"/>
          <w:szCs w:val="18"/>
        </w:rPr>
        <w:t>b)</w:t>
      </w:r>
      <w:r w:rsidRPr="003A100C">
        <w:rPr>
          <w:rFonts w:ascii="Verdana" w:hAnsi="Verdana"/>
          <w:sz w:val="18"/>
          <w:szCs w:val="18"/>
        </w:rPr>
        <w:t xml:space="preserve"> depositato in copia presso il tribunale amministrativo regionale che ha emesso la sentenza di primo grado, il quale provvede ad affiggerlo in appositi spazi accessibili al pubblico; </w:t>
      </w:r>
    </w:p>
    <w:p w14:paraId="66E6322F" w14:textId="77777777" w:rsidR="003A100C" w:rsidRDefault="003A100C" w:rsidP="003A100C">
      <w:pPr>
        <w:tabs>
          <w:tab w:val="left" w:pos="426"/>
        </w:tabs>
        <w:spacing w:after="120"/>
        <w:jc w:val="both"/>
        <w:rPr>
          <w:rFonts w:ascii="Verdana" w:hAnsi="Verdana"/>
          <w:sz w:val="18"/>
          <w:szCs w:val="18"/>
        </w:rPr>
      </w:pPr>
      <w:r w:rsidRPr="003A100C">
        <w:rPr>
          <w:rFonts w:ascii="Verdana" w:hAnsi="Verdana"/>
          <w:i/>
          <w:sz w:val="18"/>
          <w:szCs w:val="18"/>
        </w:rPr>
        <w:t>c)</w:t>
      </w:r>
      <w:r w:rsidRPr="003A100C">
        <w:rPr>
          <w:rFonts w:ascii="Verdana" w:hAnsi="Verdana"/>
          <w:sz w:val="18"/>
          <w:szCs w:val="18"/>
        </w:rPr>
        <w:t xml:space="preserve"> depositato presso la segreteria del Consiglio di Stato, che provvede a pubblicarlo nel sito internet della giustizia amministrativa e ad affiggerlo in appositi spazi accessibili al pubblico. </w:t>
      </w:r>
    </w:p>
    <w:p w14:paraId="28201BCD" w14:textId="77777777" w:rsidR="003A100C" w:rsidRDefault="003A100C" w:rsidP="003A100C">
      <w:pPr>
        <w:tabs>
          <w:tab w:val="left" w:pos="426"/>
        </w:tabs>
        <w:spacing w:after="120"/>
        <w:jc w:val="both"/>
        <w:rPr>
          <w:rFonts w:ascii="Verdana" w:hAnsi="Verdana"/>
          <w:sz w:val="18"/>
          <w:szCs w:val="18"/>
        </w:rPr>
      </w:pPr>
      <w:r w:rsidRPr="003A100C">
        <w:rPr>
          <w:rFonts w:ascii="Verdana" w:hAnsi="Verdana"/>
          <w:sz w:val="18"/>
          <w:szCs w:val="18"/>
        </w:rPr>
        <w:t>9.</w:t>
      </w:r>
      <w:r>
        <w:rPr>
          <w:rFonts w:ascii="Verdana" w:hAnsi="Verdana"/>
          <w:sz w:val="18"/>
          <w:szCs w:val="18"/>
        </w:rPr>
        <w:tab/>
      </w:r>
      <w:r w:rsidRPr="003A100C">
        <w:rPr>
          <w:rFonts w:ascii="Verdana" w:hAnsi="Verdana"/>
          <w:sz w:val="18"/>
          <w:szCs w:val="18"/>
        </w:rPr>
        <w:t xml:space="preserve">Nel giudizio di appello si applicano le disposizioni del presente articolo. </w:t>
      </w:r>
    </w:p>
    <w:p w14:paraId="72D7626F" w14:textId="77777777" w:rsidR="007B15E1" w:rsidRPr="007B15E1" w:rsidRDefault="003A100C" w:rsidP="005F3CE3">
      <w:pPr>
        <w:tabs>
          <w:tab w:val="left" w:pos="426"/>
        </w:tabs>
        <w:jc w:val="both"/>
        <w:rPr>
          <w:rFonts w:ascii="Verdana" w:hAnsi="Verdana"/>
          <w:sz w:val="18"/>
          <w:szCs w:val="18"/>
        </w:rPr>
      </w:pPr>
      <w:r w:rsidRPr="003A100C">
        <w:rPr>
          <w:rFonts w:ascii="Verdana" w:hAnsi="Verdana"/>
          <w:sz w:val="18"/>
          <w:szCs w:val="18"/>
        </w:rPr>
        <w:t>10.</w:t>
      </w:r>
      <w:r>
        <w:rPr>
          <w:rFonts w:ascii="Verdana" w:hAnsi="Verdana"/>
          <w:sz w:val="18"/>
          <w:szCs w:val="18"/>
        </w:rPr>
        <w:tab/>
      </w:r>
      <w:r w:rsidRPr="003A100C">
        <w:rPr>
          <w:rFonts w:ascii="Verdana" w:hAnsi="Verdana"/>
          <w:sz w:val="18"/>
          <w:szCs w:val="18"/>
        </w:rPr>
        <w:t>Nei giudizi di cui al comma 1 non si applicano le disposizioni di cui agli articoli 52, comma 5, e 54, commi 1 e 2.</w:t>
      </w:r>
    </w:p>
    <w:p w14:paraId="4BE829CB" w14:textId="77777777" w:rsidR="007B15E1" w:rsidRPr="007B15E1" w:rsidRDefault="007B15E1" w:rsidP="007B15E1">
      <w:pPr>
        <w:tabs>
          <w:tab w:val="left" w:pos="426"/>
        </w:tabs>
        <w:jc w:val="both"/>
        <w:rPr>
          <w:rFonts w:ascii="Verdana" w:hAnsi="Verdana"/>
          <w:sz w:val="18"/>
          <w:szCs w:val="18"/>
        </w:rPr>
      </w:pPr>
    </w:p>
    <w:p w14:paraId="24983920" w14:textId="77777777" w:rsidR="007B15E1" w:rsidRPr="004A212F" w:rsidRDefault="004A212F" w:rsidP="007B15E1">
      <w:pPr>
        <w:tabs>
          <w:tab w:val="left" w:pos="426"/>
        </w:tabs>
        <w:jc w:val="both"/>
        <w:rPr>
          <w:rFonts w:ascii="Verdana" w:hAnsi="Verdana"/>
          <w:b/>
          <w:i/>
          <w:sz w:val="18"/>
          <w:szCs w:val="18"/>
        </w:rPr>
      </w:pPr>
      <w:r w:rsidRPr="004A212F">
        <w:rPr>
          <w:rFonts w:ascii="Verdana" w:hAnsi="Verdana"/>
          <w:b/>
          <w:i/>
          <w:sz w:val="18"/>
          <w:szCs w:val="18"/>
        </w:rPr>
        <w:t>CAPO III</w:t>
      </w:r>
    </w:p>
    <w:p w14:paraId="7ED43512" w14:textId="77777777" w:rsidR="007B15E1" w:rsidRPr="004A212F" w:rsidRDefault="007B15E1" w:rsidP="007B15E1">
      <w:pPr>
        <w:tabs>
          <w:tab w:val="left" w:pos="426"/>
        </w:tabs>
        <w:jc w:val="both"/>
        <w:rPr>
          <w:rFonts w:ascii="Verdana" w:hAnsi="Verdana"/>
          <w:i/>
          <w:sz w:val="18"/>
          <w:szCs w:val="18"/>
        </w:rPr>
      </w:pPr>
      <w:r w:rsidRPr="004A212F">
        <w:rPr>
          <w:rFonts w:ascii="Verdana" w:hAnsi="Verdana"/>
          <w:i/>
          <w:sz w:val="18"/>
          <w:szCs w:val="18"/>
        </w:rPr>
        <w:t>Rito relativo alle operazioni elettorali di comuni, province, regioni e Parlamento europeo</w:t>
      </w:r>
    </w:p>
    <w:p w14:paraId="2E04F970" w14:textId="77777777"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130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Procedimento in primo grado in relazione alle operazioni elettorali di comuni, province, regioni e Parlamento europeo </w:t>
      </w:r>
    </w:p>
    <w:p w14:paraId="0FE207F2" w14:textId="77777777" w:rsidR="005F3CE3" w:rsidRDefault="007B15E1" w:rsidP="005F3CE3">
      <w:pPr>
        <w:tabs>
          <w:tab w:val="left" w:pos="426"/>
        </w:tabs>
        <w:spacing w:after="6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 xml:space="preserve">Salvo quanto disposto nel Capo II del presente Titolo, contro tutti gli atti del procedimento elettorale successivi all'emanazione dei comizi elettorali </w:t>
      </w:r>
      <w:r w:rsidR="005F3CE3">
        <w:rPr>
          <w:rFonts w:ascii="Verdana" w:hAnsi="Verdana"/>
          <w:sz w:val="18"/>
          <w:szCs w:val="18"/>
        </w:rPr>
        <w:t>è</w:t>
      </w:r>
      <w:r w:rsidR="003A100C" w:rsidRPr="003A100C">
        <w:rPr>
          <w:rFonts w:ascii="Verdana" w:hAnsi="Verdana"/>
          <w:sz w:val="18"/>
          <w:szCs w:val="18"/>
        </w:rPr>
        <w:t xml:space="preserve"> ammesso ricorso soltanto alla conclusione del procedimento elettorale, unitamente all'impugnazione dell'atto di proclamazione degli eletti: </w:t>
      </w:r>
    </w:p>
    <w:p w14:paraId="6D57829D" w14:textId="77777777"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a)</w:t>
      </w:r>
      <w:r w:rsidRPr="003A100C">
        <w:rPr>
          <w:rFonts w:ascii="Verdana" w:hAnsi="Verdana"/>
          <w:sz w:val="18"/>
          <w:szCs w:val="18"/>
        </w:rPr>
        <w:t xml:space="preserve"> quanto alle elezioni di comuni, province e regioni, da parte di qualsiasi candidato o elettore dell'ente della cui elezione si tratta, al tribunale amministrativo regionale nella cui circoscrizione ha sede il predetto ente territoriale, da depositare nella segreteria del tribunale adito entro il termine di trenta giorni dalla proclamazione degli eletti; </w:t>
      </w:r>
    </w:p>
    <w:p w14:paraId="513AA79C" w14:textId="77777777" w:rsidR="005F3CE3" w:rsidRDefault="003A100C" w:rsidP="005F3CE3">
      <w:pPr>
        <w:tabs>
          <w:tab w:val="left" w:pos="426"/>
        </w:tabs>
        <w:spacing w:after="120"/>
        <w:jc w:val="both"/>
        <w:rPr>
          <w:rFonts w:ascii="Verdana" w:hAnsi="Verdana"/>
          <w:sz w:val="18"/>
          <w:szCs w:val="18"/>
        </w:rPr>
      </w:pPr>
      <w:r w:rsidRPr="005F3CE3">
        <w:rPr>
          <w:rFonts w:ascii="Verdana" w:hAnsi="Verdana"/>
          <w:i/>
          <w:sz w:val="18"/>
          <w:szCs w:val="18"/>
        </w:rPr>
        <w:t>b)</w:t>
      </w:r>
      <w:r w:rsidRPr="003A100C">
        <w:rPr>
          <w:rFonts w:ascii="Verdana" w:hAnsi="Verdana"/>
          <w:sz w:val="18"/>
          <w:szCs w:val="18"/>
        </w:rPr>
        <w:t xml:space="preserve"> quanto alle elezioni dei membri del Parlamento europeo spettanti all'Italia, da parte di qualsiasi candidato o elettore, davanti al Tribunale amministrativo regionale del Lazio, sede di Roma, da depositare nella relativa segreteria entro il termine di trenta giorni dalla pubblicazione nella Gazzetta Ufficiale dell'elenco dei candidati proclamati eletti. </w:t>
      </w:r>
    </w:p>
    <w:p w14:paraId="523CFF23" w14:textId="77777777" w:rsidR="005F3CE3" w:rsidRDefault="003A100C" w:rsidP="005F3CE3">
      <w:pPr>
        <w:tabs>
          <w:tab w:val="left" w:pos="426"/>
        </w:tabs>
        <w:spacing w:after="60"/>
        <w:jc w:val="both"/>
        <w:rPr>
          <w:rFonts w:ascii="Verdana" w:hAnsi="Verdana"/>
          <w:sz w:val="18"/>
          <w:szCs w:val="18"/>
        </w:rPr>
      </w:pPr>
      <w:r w:rsidRPr="003A100C">
        <w:rPr>
          <w:rFonts w:ascii="Verdana" w:hAnsi="Verdana"/>
          <w:sz w:val="18"/>
          <w:szCs w:val="18"/>
        </w:rPr>
        <w:t>2.</w:t>
      </w:r>
      <w:r w:rsidR="005F3CE3">
        <w:rPr>
          <w:rFonts w:ascii="Verdana" w:hAnsi="Verdana"/>
          <w:sz w:val="18"/>
          <w:szCs w:val="18"/>
        </w:rPr>
        <w:tab/>
      </w:r>
      <w:r w:rsidRPr="003A100C">
        <w:rPr>
          <w:rFonts w:ascii="Verdana" w:hAnsi="Verdana"/>
          <w:sz w:val="18"/>
          <w:szCs w:val="18"/>
        </w:rPr>
        <w:t xml:space="preserve">Il presidente, con decreto: </w:t>
      </w:r>
    </w:p>
    <w:p w14:paraId="0914B809" w14:textId="77777777"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a)</w:t>
      </w:r>
      <w:r w:rsidRPr="003A100C">
        <w:rPr>
          <w:rFonts w:ascii="Verdana" w:hAnsi="Verdana"/>
          <w:sz w:val="18"/>
          <w:szCs w:val="18"/>
        </w:rPr>
        <w:t xml:space="preserve"> fissa l'udienza di discussione della causa in via di urgenza; </w:t>
      </w:r>
    </w:p>
    <w:p w14:paraId="7AE4EE55" w14:textId="77777777"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b)</w:t>
      </w:r>
      <w:r w:rsidRPr="003A100C">
        <w:rPr>
          <w:rFonts w:ascii="Verdana" w:hAnsi="Verdana"/>
          <w:sz w:val="18"/>
          <w:szCs w:val="18"/>
        </w:rPr>
        <w:t xml:space="preserve"> designa il relatore; </w:t>
      </w:r>
    </w:p>
    <w:p w14:paraId="3B983481" w14:textId="77777777"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c)</w:t>
      </w:r>
      <w:r w:rsidRPr="003A100C">
        <w:rPr>
          <w:rFonts w:ascii="Verdana" w:hAnsi="Verdana"/>
          <w:sz w:val="18"/>
          <w:szCs w:val="18"/>
        </w:rPr>
        <w:t xml:space="preserve"> ordina le notifiche, autorizzando, ove necessario, qualunque mezzo idoneo; </w:t>
      </w:r>
    </w:p>
    <w:p w14:paraId="59231BFE" w14:textId="77777777"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d)</w:t>
      </w:r>
      <w:r w:rsidRPr="003A100C">
        <w:rPr>
          <w:rFonts w:ascii="Verdana" w:hAnsi="Verdana"/>
          <w:sz w:val="18"/>
          <w:szCs w:val="18"/>
        </w:rPr>
        <w:t xml:space="preserve"> ordina il deposito di documenti e l'acquisizione di ogni altra prova necessaria; </w:t>
      </w:r>
    </w:p>
    <w:p w14:paraId="32F5C507" w14:textId="77777777" w:rsidR="005F3CE3" w:rsidRDefault="003A100C" w:rsidP="005F3CE3">
      <w:pPr>
        <w:tabs>
          <w:tab w:val="left" w:pos="426"/>
        </w:tabs>
        <w:spacing w:after="120"/>
        <w:jc w:val="both"/>
        <w:rPr>
          <w:rFonts w:ascii="Verdana" w:hAnsi="Verdana"/>
          <w:sz w:val="18"/>
          <w:szCs w:val="18"/>
        </w:rPr>
      </w:pPr>
      <w:r w:rsidRPr="005F3CE3">
        <w:rPr>
          <w:rFonts w:ascii="Verdana" w:hAnsi="Verdana"/>
          <w:i/>
          <w:sz w:val="18"/>
          <w:szCs w:val="18"/>
        </w:rPr>
        <w:t>e)</w:t>
      </w:r>
      <w:r w:rsidRPr="003A100C">
        <w:rPr>
          <w:rFonts w:ascii="Verdana" w:hAnsi="Verdana"/>
          <w:sz w:val="18"/>
          <w:szCs w:val="18"/>
        </w:rPr>
        <w:t xml:space="preserve"> ordina che a cura della segreteria il decreto sia immediatamente comunicato, con ogni mezzo utile, al ricorrente. </w:t>
      </w:r>
    </w:p>
    <w:p w14:paraId="19946AA6" w14:textId="77777777" w:rsidR="005F3CE3" w:rsidRDefault="003A100C" w:rsidP="005F3CE3">
      <w:pPr>
        <w:tabs>
          <w:tab w:val="left" w:pos="426"/>
        </w:tabs>
        <w:spacing w:after="60"/>
        <w:jc w:val="both"/>
        <w:rPr>
          <w:rFonts w:ascii="Verdana" w:hAnsi="Verdana"/>
          <w:sz w:val="18"/>
          <w:szCs w:val="18"/>
        </w:rPr>
      </w:pPr>
      <w:r w:rsidRPr="003A100C">
        <w:rPr>
          <w:rFonts w:ascii="Verdana" w:hAnsi="Verdana"/>
          <w:sz w:val="18"/>
          <w:szCs w:val="18"/>
        </w:rPr>
        <w:lastRenderedPageBreak/>
        <w:t>3.</w:t>
      </w:r>
      <w:r w:rsidR="005F3CE3">
        <w:rPr>
          <w:rFonts w:ascii="Verdana" w:hAnsi="Verdana"/>
          <w:sz w:val="18"/>
          <w:szCs w:val="18"/>
        </w:rPr>
        <w:tab/>
      </w:r>
      <w:r w:rsidRPr="003A100C">
        <w:rPr>
          <w:rFonts w:ascii="Verdana" w:hAnsi="Verdana"/>
          <w:sz w:val="18"/>
          <w:szCs w:val="18"/>
        </w:rPr>
        <w:t xml:space="preserve">Il ricorso </w:t>
      </w:r>
      <w:r w:rsidR="005F3CE3">
        <w:rPr>
          <w:rFonts w:ascii="Verdana" w:hAnsi="Verdana"/>
          <w:sz w:val="18"/>
          <w:szCs w:val="18"/>
        </w:rPr>
        <w:t>è</w:t>
      </w:r>
      <w:r w:rsidRPr="003A100C">
        <w:rPr>
          <w:rFonts w:ascii="Verdana" w:hAnsi="Verdana"/>
          <w:sz w:val="18"/>
          <w:szCs w:val="18"/>
        </w:rPr>
        <w:t xml:space="preserve"> notificato, unitamente al decreto di fissazione dell'udienza, a cura di chi lo ha proposto, entro dieci giorni dalla data della comunicazione del decreto di cui al comma 2: </w:t>
      </w:r>
    </w:p>
    <w:p w14:paraId="6DCC1242" w14:textId="77777777"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a)</w:t>
      </w:r>
      <w:r w:rsidRPr="003A100C">
        <w:rPr>
          <w:rFonts w:ascii="Verdana" w:hAnsi="Verdana"/>
          <w:sz w:val="18"/>
          <w:szCs w:val="18"/>
        </w:rPr>
        <w:t xml:space="preserve"> all'ente della cui elezione si tratta, in caso di elezioni di comuni, province, regioni; </w:t>
      </w:r>
    </w:p>
    <w:p w14:paraId="48E55168" w14:textId="77777777" w:rsidR="005F3CE3" w:rsidRDefault="003A100C" w:rsidP="005F3CE3">
      <w:pPr>
        <w:tabs>
          <w:tab w:val="left" w:pos="426"/>
        </w:tabs>
        <w:spacing w:after="60"/>
        <w:jc w:val="both"/>
        <w:rPr>
          <w:rFonts w:ascii="Verdana" w:hAnsi="Verdana"/>
          <w:sz w:val="18"/>
          <w:szCs w:val="18"/>
        </w:rPr>
      </w:pPr>
      <w:r w:rsidRPr="005F3CE3">
        <w:rPr>
          <w:rFonts w:ascii="Verdana" w:hAnsi="Verdana"/>
          <w:i/>
          <w:sz w:val="18"/>
          <w:szCs w:val="18"/>
        </w:rPr>
        <w:t>b)</w:t>
      </w:r>
      <w:r w:rsidRPr="003A100C">
        <w:rPr>
          <w:rFonts w:ascii="Verdana" w:hAnsi="Verdana"/>
          <w:sz w:val="18"/>
          <w:szCs w:val="18"/>
        </w:rPr>
        <w:t xml:space="preserve"> all'Ufficio elettorale centrale nazionale, in caso di elezioni dei membri del Parlamento europeo spettanti all'Italia; </w:t>
      </w:r>
    </w:p>
    <w:p w14:paraId="2070DE1F" w14:textId="77777777" w:rsidR="005F3CE3" w:rsidRDefault="003A100C" w:rsidP="005F3CE3">
      <w:pPr>
        <w:tabs>
          <w:tab w:val="left" w:pos="426"/>
        </w:tabs>
        <w:spacing w:after="120"/>
        <w:jc w:val="both"/>
        <w:rPr>
          <w:rFonts w:ascii="Verdana" w:hAnsi="Verdana"/>
          <w:sz w:val="18"/>
          <w:szCs w:val="18"/>
        </w:rPr>
      </w:pPr>
      <w:r w:rsidRPr="005F3CE3">
        <w:rPr>
          <w:rFonts w:ascii="Verdana" w:hAnsi="Verdana"/>
          <w:i/>
          <w:sz w:val="18"/>
          <w:szCs w:val="18"/>
        </w:rPr>
        <w:t>c)</w:t>
      </w:r>
      <w:r w:rsidRPr="003A100C">
        <w:rPr>
          <w:rFonts w:ascii="Verdana" w:hAnsi="Verdana"/>
          <w:sz w:val="18"/>
          <w:szCs w:val="18"/>
        </w:rPr>
        <w:t xml:space="preserve"> alle altre parti che vi hanno interesse, e comunque ad almeno un controinteressato. </w:t>
      </w:r>
    </w:p>
    <w:p w14:paraId="25060ED9" w14:textId="77777777"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4.</w:t>
      </w:r>
      <w:r w:rsidR="005F3CE3">
        <w:rPr>
          <w:rFonts w:ascii="Verdana" w:hAnsi="Verdana"/>
          <w:sz w:val="18"/>
          <w:szCs w:val="18"/>
        </w:rPr>
        <w:tab/>
      </w:r>
      <w:r w:rsidRPr="003A100C">
        <w:rPr>
          <w:rFonts w:ascii="Verdana" w:hAnsi="Verdana"/>
          <w:sz w:val="18"/>
          <w:szCs w:val="18"/>
        </w:rPr>
        <w:t xml:space="preserve">Entro dieci giorni dall'ultima notificazione di cui al comma 3, il ricorrente deposita nella segreteria del tribunale la copia del ricorso e del decreto, con la prova dell'avvenuta notificazione, insieme con gli atti e documenti del giudizio. </w:t>
      </w:r>
    </w:p>
    <w:p w14:paraId="74746E86" w14:textId="77777777"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5.</w:t>
      </w:r>
      <w:r w:rsidR="005F3CE3">
        <w:rPr>
          <w:rFonts w:ascii="Verdana" w:hAnsi="Verdana"/>
          <w:sz w:val="18"/>
          <w:szCs w:val="18"/>
        </w:rPr>
        <w:tab/>
      </w:r>
      <w:r w:rsidRPr="003A100C">
        <w:rPr>
          <w:rFonts w:ascii="Verdana" w:hAnsi="Verdana"/>
          <w:sz w:val="18"/>
          <w:szCs w:val="18"/>
        </w:rPr>
        <w:t xml:space="preserve">L'amministrazione resistente e i controinteressati depositano nella segreteria le proprie controdeduzioni nei quindici giorni successivi a quello in cui la notificazione si </w:t>
      </w:r>
      <w:r w:rsidR="005F3CE3">
        <w:rPr>
          <w:rFonts w:ascii="Verdana" w:hAnsi="Verdana"/>
          <w:sz w:val="18"/>
          <w:szCs w:val="18"/>
        </w:rPr>
        <w:t>è</w:t>
      </w:r>
      <w:r w:rsidRPr="003A100C">
        <w:rPr>
          <w:rFonts w:ascii="Verdana" w:hAnsi="Verdana"/>
          <w:sz w:val="18"/>
          <w:szCs w:val="18"/>
        </w:rPr>
        <w:t xml:space="preserve"> perfezionata nei loro confronti. </w:t>
      </w:r>
    </w:p>
    <w:p w14:paraId="31C106C3" w14:textId="77777777"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6.</w:t>
      </w:r>
      <w:r w:rsidR="005F3CE3">
        <w:rPr>
          <w:rFonts w:ascii="Verdana" w:hAnsi="Verdana"/>
          <w:sz w:val="18"/>
          <w:szCs w:val="18"/>
        </w:rPr>
        <w:tab/>
      </w:r>
      <w:r w:rsidRPr="003A100C">
        <w:rPr>
          <w:rFonts w:ascii="Verdana" w:hAnsi="Verdana"/>
          <w:sz w:val="18"/>
          <w:szCs w:val="18"/>
        </w:rPr>
        <w:t xml:space="preserve">All'esito dell'udienza, il collegio, sentite le parti se presenti, pronuncia la sentenza. </w:t>
      </w:r>
    </w:p>
    <w:p w14:paraId="552D38E3" w14:textId="77777777"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7.</w:t>
      </w:r>
      <w:r w:rsidR="005F3CE3">
        <w:rPr>
          <w:rFonts w:ascii="Verdana" w:hAnsi="Verdana"/>
          <w:sz w:val="18"/>
          <w:szCs w:val="18"/>
        </w:rPr>
        <w:tab/>
      </w:r>
      <w:r w:rsidRPr="003A100C">
        <w:rPr>
          <w:rFonts w:ascii="Verdana" w:hAnsi="Verdana"/>
          <w:sz w:val="18"/>
          <w:szCs w:val="18"/>
        </w:rPr>
        <w:t xml:space="preserve">La sentenza </w:t>
      </w:r>
      <w:r w:rsidR="005F3CE3">
        <w:rPr>
          <w:rFonts w:ascii="Verdana" w:hAnsi="Verdana"/>
          <w:sz w:val="18"/>
          <w:szCs w:val="18"/>
        </w:rPr>
        <w:t>è</w:t>
      </w:r>
      <w:r w:rsidRPr="003A100C">
        <w:rPr>
          <w:rFonts w:ascii="Verdana" w:hAnsi="Verdana"/>
          <w:sz w:val="18"/>
          <w:szCs w:val="18"/>
        </w:rPr>
        <w:t xml:space="preserve"> pubblicata entro il giorno successivo alla decision</w:t>
      </w:r>
      <w:r w:rsidR="005F3CE3">
        <w:rPr>
          <w:rFonts w:ascii="Verdana" w:hAnsi="Verdana"/>
          <w:sz w:val="18"/>
          <w:szCs w:val="18"/>
        </w:rPr>
        <w:t>e della causa. Se la complessità</w:t>
      </w:r>
      <w:r w:rsidRPr="003A100C">
        <w:rPr>
          <w:rFonts w:ascii="Verdana" w:hAnsi="Verdana"/>
          <w:sz w:val="18"/>
          <w:szCs w:val="18"/>
        </w:rPr>
        <w:t xml:space="preserve"> delle questioni non consente la pubblicazione della sentenza, nello stesso termine di cui al periodo precedente </w:t>
      </w:r>
      <w:r w:rsidR="005F3CE3">
        <w:rPr>
          <w:rFonts w:ascii="Verdana" w:hAnsi="Verdana"/>
          <w:sz w:val="18"/>
          <w:szCs w:val="18"/>
        </w:rPr>
        <w:t>è</w:t>
      </w:r>
      <w:r w:rsidRPr="003A100C">
        <w:rPr>
          <w:rFonts w:ascii="Verdana" w:hAnsi="Verdana"/>
          <w:sz w:val="18"/>
          <w:szCs w:val="18"/>
        </w:rPr>
        <w:t xml:space="preserve"> pubblicato il dispositivo mediante deposito in segreteria. In tal caso la sentenza </w:t>
      </w:r>
      <w:r w:rsidR="005F3CE3">
        <w:rPr>
          <w:rFonts w:ascii="Verdana" w:hAnsi="Verdana"/>
          <w:sz w:val="18"/>
          <w:szCs w:val="18"/>
        </w:rPr>
        <w:t>è</w:t>
      </w:r>
      <w:r w:rsidRPr="003A100C">
        <w:rPr>
          <w:rFonts w:ascii="Verdana" w:hAnsi="Verdana"/>
          <w:sz w:val="18"/>
          <w:szCs w:val="18"/>
        </w:rPr>
        <w:t xml:space="preserve"> pubblicata entro i dieci giorni successivi. </w:t>
      </w:r>
    </w:p>
    <w:p w14:paraId="42EC3255" w14:textId="77777777"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8.</w:t>
      </w:r>
      <w:r w:rsidR="005F3CE3">
        <w:rPr>
          <w:rFonts w:ascii="Verdana" w:hAnsi="Verdana"/>
          <w:sz w:val="18"/>
          <w:szCs w:val="18"/>
        </w:rPr>
        <w:tab/>
      </w:r>
      <w:r w:rsidRPr="003A100C">
        <w:rPr>
          <w:rFonts w:ascii="Verdana" w:hAnsi="Verdana"/>
          <w:sz w:val="18"/>
          <w:szCs w:val="18"/>
        </w:rPr>
        <w:t xml:space="preserve">La sentenza </w:t>
      </w:r>
      <w:r w:rsidR="005F3CE3">
        <w:rPr>
          <w:rFonts w:ascii="Verdana" w:hAnsi="Verdana"/>
          <w:sz w:val="18"/>
          <w:szCs w:val="18"/>
        </w:rPr>
        <w:t>è</w:t>
      </w:r>
      <w:r w:rsidRPr="003A100C">
        <w:rPr>
          <w:rFonts w:ascii="Verdana" w:hAnsi="Verdana"/>
          <w:sz w:val="18"/>
          <w:szCs w:val="18"/>
        </w:rPr>
        <w:t xml:space="preserve"> immediatamente trasmessa in copia, a cura della segreteria del tribunale amministrativo regionale, al Sindaco, alla giunta provinciale, alla giunta regionale, al presidente dell'ufficio elettorale nazionale, a seconda dell'ente cui si riferisce l'elezione. Il comune, la provincia o la regione della cui elezione si tratta provvede, entro ventiquattro ore dal ricevimento, alla pubblicazione per quindici giorni del dispositivo della sentenza nell'albo o bollettino ufficiale dell'ente interessato a mezzo del segretario che ne </w:t>
      </w:r>
      <w:r w:rsidR="005F3CE3">
        <w:rPr>
          <w:rFonts w:ascii="Verdana" w:hAnsi="Verdana"/>
          <w:sz w:val="18"/>
          <w:szCs w:val="18"/>
        </w:rPr>
        <w:t>è</w:t>
      </w:r>
      <w:r w:rsidRPr="003A100C">
        <w:rPr>
          <w:rFonts w:ascii="Verdana" w:hAnsi="Verdana"/>
          <w:sz w:val="18"/>
          <w:szCs w:val="18"/>
        </w:rPr>
        <w:t xml:space="preserve"> diretto responsabile. In caso di elezioni relative a comuni, province o regioni, la sentenza </w:t>
      </w:r>
      <w:r w:rsidR="005F3CE3">
        <w:rPr>
          <w:rFonts w:ascii="Verdana" w:hAnsi="Verdana"/>
          <w:sz w:val="18"/>
          <w:szCs w:val="18"/>
        </w:rPr>
        <w:t>è</w:t>
      </w:r>
      <w:r w:rsidRPr="003A100C">
        <w:rPr>
          <w:rFonts w:ascii="Verdana" w:hAnsi="Verdana"/>
          <w:sz w:val="18"/>
          <w:szCs w:val="18"/>
        </w:rPr>
        <w:t xml:space="preserve"> comunicata anche al Prefetto. Ai medesimi incombenti si provvede dopo il passaggio in giudicato della sentenza annotando sulla copia</w:t>
      </w:r>
      <w:r w:rsidR="005F3CE3">
        <w:rPr>
          <w:rFonts w:ascii="Verdana" w:hAnsi="Verdana"/>
          <w:sz w:val="18"/>
          <w:szCs w:val="18"/>
        </w:rPr>
        <w:t xml:space="preserve"> pubblicata la sua definitività</w:t>
      </w:r>
      <w:r w:rsidRPr="003A100C">
        <w:rPr>
          <w:rFonts w:ascii="Verdana" w:hAnsi="Verdana"/>
          <w:sz w:val="18"/>
          <w:szCs w:val="18"/>
        </w:rPr>
        <w:t xml:space="preserve">. </w:t>
      </w:r>
    </w:p>
    <w:p w14:paraId="7A53C6DC" w14:textId="77777777"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9.</w:t>
      </w:r>
      <w:r w:rsidR="005F3CE3">
        <w:rPr>
          <w:rFonts w:ascii="Verdana" w:hAnsi="Verdana"/>
          <w:sz w:val="18"/>
          <w:szCs w:val="18"/>
        </w:rPr>
        <w:tab/>
      </w:r>
      <w:r w:rsidRPr="003A100C">
        <w:rPr>
          <w:rFonts w:ascii="Verdana" w:hAnsi="Verdana"/>
          <w:sz w:val="18"/>
          <w:szCs w:val="18"/>
        </w:rPr>
        <w:t xml:space="preserve">Il tribunale amministrativo regionale, quando accoglie il ricorso, corregge il risultato delle elezioni e sostituisce ai candidati illegittimamente proclamati coloro che hanno diritto di esserlo. In caso di ricorso avverso le operazioni elettorali inerenti il Parlamento europeo, i voti delle sezioni le cui operazioni sono state annullate non hanno effetto. </w:t>
      </w:r>
    </w:p>
    <w:p w14:paraId="7B00D9E8" w14:textId="77777777" w:rsidR="005F3CE3" w:rsidRDefault="003A100C" w:rsidP="005F3CE3">
      <w:pPr>
        <w:tabs>
          <w:tab w:val="left" w:pos="426"/>
        </w:tabs>
        <w:spacing w:after="120"/>
        <w:jc w:val="both"/>
        <w:rPr>
          <w:rFonts w:ascii="Verdana" w:hAnsi="Verdana"/>
          <w:sz w:val="18"/>
          <w:szCs w:val="18"/>
        </w:rPr>
      </w:pPr>
      <w:r w:rsidRPr="003A100C">
        <w:rPr>
          <w:rFonts w:ascii="Verdana" w:hAnsi="Verdana"/>
          <w:sz w:val="18"/>
          <w:szCs w:val="18"/>
        </w:rPr>
        <w:t>10.</w:t>
      </w:r>
      <w:r w:rsidR="005F3CE3">
        <w:rPr>
          <w:rFonts w:ascii="Verdana" w:hAnsi="Verdana"/>
          <w:sz w:val="18"/>
          <w:szCs w:val="18"/>
        </w:rPr>
        <w:tab/>
      </w:r>
      <w:r w:rsidRPr="003A100C">
        <w:rPr>
          <w:rFonts w:ascii="Verdana" w:hAnsi="Verdana"/>
          <w:sz w:val="18"/>
          <w:szCs w:val="18"/>
        </w:rPr>
        <w:t xml:space="preserve">Tutti i termini processuali diversi da quelli indicati nel presente articolo e nell'articolo 131 sono dimezzati rispetto ai termini del processo ordinario. </w:t>
      </w:r>
    </w:p>
    <w:p w14:paraId="6AB4A060" w14:textId="77777777" w:rsidR="007B15E1" w:rsidRPr="007B15E1" w:rsidRDefault="003A100C" w:rsidP="005F3CE3">
      <w:pPr>
        <w:tabs>
          <w:tab w:val="left" w:pos="426"/>
        </w:tabs>
        <w:jc w:val="both"/>
        <w:rPr>
          <w:rFonts w:ascii="Verdana" w:hAnsi="Verdana"/>
          <w:sz w:val="18"/>
          <w:szCs w:val="18"/>
        </w:rPr>
      </w:pPr>
      <w:r w:rsidRPr="003A100C">
        <w:rPr>
          <w:rFonts w:ascii="Verdana" w:hAnsi="Verdana"/>
          <w:sz w:val="18"/>
          <w:szCs w:val="18"/>
        </w:rPr>
        <w:t>11.</w:t>
      </w:r>
      <w:r w:rsidR="005F3CE3">
        <w:rPr>
          <w:rFonts w:ascii="Verdana" w:hAnsi="Verdana"/>
          <w:sz w:val="18"/>
          <w:szCs w:val="18"/>
        </w:rPr>
        <w:tab/>
      </w:r>
      <w:r w:rsidRPr="003A100C">
        <w:rPr>
          <w:rFonts w:ascii="Verdana" w:hAnsi="Verdana"/>
          <w:sz w:val="18"/>
          <w:szCs w:val="18"/>
        </w:rPr>
        <w:t>L'ente comunale, provinciale o regionale, della cui elezione si tratta, comunica agli interessati la correzione del risultato elettorale. L'Ufficio elettorale nazionale comunica la correzione del risultato elettorale agli interessati e alla segreteria del Parlamento europeo.</w:t>
      </w:r>
    </w:p>
    <w:p w14:paraId="2E796FE6" w14:textId="77777777" w:rsidR="007B15E1" w:rsidRPr="004A212F" w:rsidRDefault="007B15E1" w:rsidP="004A212F">
      <w:pPr>
        <w:tabs>
          <w:tab w:val="left" w:pos="426"/>
        </w:tabs>
        <w:spacing w:after="0"/>
        <w:jc w:val="both"/>
        <w:rPr>
          <w:rFonts w:ascii="Verdana" w:hAnsi="Verdana" w:cs="Arial"/>
          <w:sz w:val="18"/>
          <w:szCs w:val="18"/>
        </w:rPr>
      </w:pPr>
    </w:p>
    <w:p w14:paraId="03C6890D" w14:textId="77777777"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131 </w:t>
      </w:r>
      <w:r w:rsidR="004A212F">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Procedimento in appello in relazione alle operazioni elettorali di comuni, province e regioni </w:t>
      </w:r>
    </w:p>
    <w:p w14:paraId="72845790" w14:textId="77777777" w:rsidR="005F3CE3"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4A212F">
        <w:rPr>
          <w:rFonts w:ascii="Verdana" w:hAnsi="Verdana"/>
          <w:sz w:val="18"/>
          <w:szCs w:val="18"/>
        </w:rPr>
        <w:tab/>
      </w:r>
      <w:r w:rsidR="003A100C" w:rsidRPr="003A100C">
        <w:rPr>
          <w:rFonts w:ascii="Verdana" w:hAnsi="Verdana"/>
          <w:sz w:val="18"/>
          <w:szCs w:val="18"/>
        </w:rPr>
        <w:t xml:space="preserve">L'appello avverso le sentenze di cui all'articolo 130 </w:t>
      </w:r>
      <w:r w:rsidR="005F3CE3">
        <w:rPr>
          <w:rFonts w:ascii="Verdana" w:hAnsi="Verdana"/>
          <w:sz w:val="18"/>
          <w:szCs w:val="18"/>
        </w:rPr>
        <w:t>è</w:t>
      </w:r>
      <w:r w:rsidR="003A100C" w:rsidRPr="003A100C">
        <w:rPr>
          <w:rFonts w:ascii="Verdana" w:hAnsi="Verdana"/>
          <w:sz w:val="18"/>
          <w:szCs w:val="18"/>
        </w:rPr>
        <w:t xml:space="preserve"> proposto entro il termine di venti giorni dalla notifica della sentenza, per coloro nei cui confronti </w:t>
      </w:r>
      <w:r w:rsidR="005F3CE3">
        <w:rPr>
          <w:rFonts w:ascii="Verdana" w:hAnsi="Verdana"/>
          <w:sz w:val="18"/>
          <w:szCs w:val="18"/>
        </w:rPr>
        <w:t>è</w:t>
      </w:r>
      <w:r w:rsidR="003A100C" w:rsidRPr="003A100C">
        <w:rPr>
          <w:rFonts w:ascii="Verdana" w:hAnsi="Verdana"/>
          <w:sz w:val="18"/>
          <w:szCs w:val="18"/>
        </w:rPr>
        <w:t xml:space="preserve"> obbligatoria la notifica; per gli altri candidati o elettori nel termine di venti giorni decorrenti dall'ultimo giorno della pubblicazione della sentenza medesima nell'albo pretorio del comune. </w:t>
      </w:r>
    </w:p>
    <w:p w14:paraId="5A203715" w14:textId="77777777" w:rsidR="005F3CE3"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sidR="005F3CE3">
        <w:rPr>
          <w:rFonts w:ascii="Verdana" w:hAnsi="Verdana"/>
          <w:sz w:val="18"/>
          <w:szCs w:val="18"/>
        </w:rPr>
        <w:tab/>
      </w:r>
      <w:r w:rsidRPr="003A100C">
        <w:rPr>
          <w:rFonts w:ascii="Verdana" w:hAnsi="Verdana"/>
          <w:sz w:val="18"/>
          <w:szCs w:val="18"/>
        </w:rPr>
        <w:t xml:space="preserve">Il presidente fissa in via d'urgenza l'udienza di discussione. Al giudizio si applicano le norme che regolano il processo di appello innanzi al Consiglio di Stato, e i relativi termini sono dimezzati rispetto a quelli del giudizio ordinario. </w:t>
      </w:r>
    </w:p>
    <w:p w14:paraId="20EDFF91" w14:textId="77777777" w:rsidR="005F3CE3" w:rsidRDefault="003A100C" w:rsidP="003A100C">
      <w:pPr>
        <w:tabs>
          <w:tab w:val="left" w:pos="426"/>
        </w:tabs>
        <w:spacing w:after="120"/>
        <w:jc w:val="both"/>
        <w:rPr>
          <w:rFonts w:ascii="Verdana" w:hAnsi="Verdana"/>
          <w:sz w:val="18"/>
          <w:szCs w:val="18"/>
        </w:rPr>
      </w:pPr>
      <w:r w:rsidRPr="003A100C">
        <w:rPr>
          <w:rFonts w:ascii="Verdana" w:hAnsi="Verdana"/>
          <w:sz w:val="18"/>
          <w:szCs w:val="18"/>
        </w:rPr>
        <w:t>3.</w:t>
      </w:r>
      <w:r w:rsidR="005F3CE3">
        <w:rPr>
          <w:rFonts w:ascii="Verdana" w:hAnsi="Verdana"/>
          <w:sz w:val="18"/>
          <w:szCs w:val="18"/>
        </w:rPr>
        <w:tab/>
      </w:r>
      <w:r w:rsidRPr="003A100C">
        <w:rPr>
          <w:rFonts w:ascii="Verdana" w:hAnsi="Verdana"/>
          <w:sz w:val="18"/>
          <w:szCs w:val="18"/>
        </w:rPr>
        <w:t xml:space="preserve">La sentenza, quando, in riforma di quella di primo grado, accoglie il ricorso originario, provvede ai sensi dell'articolo 130, comma 9. </w:t>
      </w:r>
    </w:p>
    <w:p w14:paraId="65721678" w14:textId="77777777" w:rsidR="007B15E1" w:rsidRPr="007B15E1" w:rsidRDefault="003A100C" w:rsidP="005F3CE3">
      <w:pPr>
        <w:tabs>
          <w:tab w:val="left" w:pos="426"/>
        </w:tabs>
        <w:jc w:val="both"/>
        <w:rPr>
          <w:rFonts w:ascii="Verdana" w:hAnsi="Verdana"/>
          <w:sz w:val="18"/>
          <w:szCs w:val="18"/>
        </w:rPr>
      </w:pPr>
      <w:r w:rsidRPr="003A100C">
        <w:rPr>
          <w:rFonts w:ascii="Verdana" w:hAnsi="Verdana"/>
          <w:sz w:val="18"/>
          <w:szCs w:val="18"/>
        </w:rPr>
        <w:lastRenderedPageBreak/>
        <w:t>4.</w:t>
      </w:r>
      <w:r w:rsidR="005F3CE3">
        <w:rPr>
          <w:rFonts w:ascii="Verdana" w:hAnsi="Verdana"/>
          <w:sz w:val="18"/>
          <w:szCs w:val="18"/>
        </w:rPr>
        <w:tab/>
      </w:r>
      <w:r w:rsidRPr="003A100C">
        <w:rPr>
          <w:rFonts w:ascii="Verdana" w:hAnsi="Verdana"/>
          <w:sz w:val="18"/>
          <w:szCs w:val="18"/>
        </w:rPr>
        <w:t xml:space="preserve">La sentenza </w:t>
      </w:r>
      <w:r w:rsidR="005F3CE3">
        <w:rPr>
          <w:rFonts w:ascii="Verdana" w:hAnsi="Verdana"/>
          <w:sz w:val="18"/>
          <w:szCs w:val="18"/>
        </w:rPr>
        <w:t>è</w:t>
      </w:r>
      <w:r w:rsidRPr="003A100C">
        <w:rPr>
          <w:rFonts w:ascii="Verdana" w:hAnsi="Verdana"/>
          <w:sz w:val="18"/>
          <w:szCs w:val="18"/>
        </w:rPr>
        <w:t xml:space="preserve"> immediatamente trasmessa in copia, a cura della segreteria del Consiglio di Stato, ai soggetti di cui all'articolo 130, comma 8, i quali provvedono agli ulteriori incombenti ivi previsti e a quelli di cui al comma 11 dello stesso articolo 130.</w:t>
      </w:r>
    </w:p>
    <w:p w14:paraId="64D4EDA8" w14:textId="77777777" w:rsidR="007B15E1" w:rsidRPr="004A212F" w:rsidRDefault="007B15E1" w:rsidP="004A212F">
      <w:pPr>
        <w:tabs>
          <w:tab w:val="left" w:pos="426"/>
        </w:tabs>
        <w:spacing w:after="0"/>
        <w:jc w:val="both"/>
        <w:rPr>
          <w:rFonts w:ascii="Verdana" w:hAnsi="Verdana" w:cs="Arial"/>
          <w:sz w:val="18"/>
          <w:szCs w:val="18"/>
        </w:rPr>
      </w:pPr>
    </w:p>
    <w:p w14:paraId="57AE2DBB" w14:textId="77777777" w:rsidR="007B15E1" w:rsidRPr="004A212F" w:rsidRDefault="007B15E1" w:rsidP="004A212F">
      <w:pPr>
        <w:tabs>
          <w:tab w:val="left" w:pos="426"/>
        </w:tabs>
        <w:spacing w:after="0"/>
        <w:jc w:val="both"/>
        <w:rPr>
          <w:rFonts w:ascii="Verdana" w:hAnsi="Verdana" w:cs="Arial"/>
          <w:b/>
          <w:color w:val="1F497D" w:themeColor="text2"/>
          <w:sz w:val="18"/>
          <w:szCs w:val="18"/>
        </w:rPr>
      </w:pPr>
      <w:r w:rsidRPr="004A212F">
        <w:rPr>
          <w:rFonts w:ascii="Verdana" w:hAnsi="Verdana" w:cs="Arial"/>
          <w:b/>
          <w:color w:val="1F497D" w:themeColor="text2"/>
          <w:sz w:val="18"/>
          <w:szCs w:val="18"/>
        </w:rPr>
        <w:t xml:space="preserve">Art. 132 </w:t>
      </w:r>
      <w:r w:rsidR="00AC5765">
        <w:rPr>
          <w:rFonts w:ascii="Verdana" w:hAnsi="Verdana" w:cs="Arial"/>
          <w:b/>
          <w:color w:val="1F497D" w:themeColor="text2"/>
          <w:sz w:val="18"/>
          <w:szCs w:val="18"/>
        </w:rPr>
        <w:t>-</w:t>
      </w:r>
      <w:r w:rsidRPr="004A212F">
        <w:rPr>
          <w:rFonts w:ascii="Verdana" w:hAnsi="Verdana" w:cs="Arial"/>
          <w:b/>
          <w:color w:val="1F497D" w:themeColor="text2"/>
          <w:sz w:val="18"/>
          <w:szCs w:val="18"/>
        </w:rPr>
        <w:t xml:space="preserve"> Procedimento in appello in relazione alle operazioni elettorali del Parlamento europeo </w:t>
      </w:r>
    </w:p>
    <w:p w14:paraId="501D47C2" w14:textId="77777777" w:rsidR="005F3CE3" w:rsidRDefault="007B15E1" w:rsidP="003A100C">
      <w:pPr>
        <w:tabs>
          <w:tab w:val="left" w:pos="426"/>
        </w:tabs>
        <w:spacing w:after="120"/>
        <w:jc w:val="both"/>
        <w:rPr>
          <w:rFonts w:ascii="Verdana" w:hAnsi="Verdana"/>
          <w:sz w:val="18"/>
          <w:szCs w:val="18"/>
        </w:rPr>
      </w:pPr>
      <w:r w:rsidRPr="007B15E1">
        <w:rPr>
          <w:rFonts w:ascii="Verdana" w:hAnsi="Verdana"/>
          <w:sz w:val="18"/>
          <w:szCs w:val="18"/>
        </w:rPr>
        <w:t>1.</w:t>
      </w:r>
      <w:r w:rsidR="00AC5765">
        <w:rPr>
          <w:rFonts w:ascii="Verdana" w:hAnsi="Verdana"/>
          <w:sz w:val="18"/>
          <w:szCs w:val="18"/>
        </w:rPr>
        <w:tab/>
      </w:r>
      <w:r w:rsidR="003A100C" w:rsidRPr="003A100C">
        <w:rPr>
          <w:rFonts w:ascii="Verdana" w:hAnsi="Verdana"/>
          <w:sz w:val="18"/>
          <w:szCs w:val="18"/>
        </w:rPr>
        <w:t xml:space="preserve">Le parti del giudizio di primo grado possono proporre appello mediante dichiarazione da presentare presso la segreteria del tribunale amministrativo regionale che ha pronunciato la sentenza, entro il termine di cinque giorni decorrenti dalla pubblicazione della sentenza o, in mancanza, del dispositivo. </w:t>
      </w:r>
    </w:p>
    <w:p w14:paraId="0E56BBBD" w14:textId="77777777" w:rsidR="005F3CE3" w:rsidRDefault="003A100C" w:rsidP="003A100C">
      <w:pPr>
        <w:tabs>
          <w:tab w:val="left" w:pos="426"/>
        </w:tabs>
        <w:spacing w:after="120"/>
        <w:jc w:val="both"/>
        <w:rPr>
          <w:rFonts w:ascii="Verdana" w:hAnsi="Verdana"/>
          <w:sz w:val="18"/>
          <w:szCs w:val="18"/>
        </w:rPr>
      </w:pPr>
      <w:r w:rsidRPr="003A100C">
        <w:rPr>
          <w:rFonts w:ascii="Verdana" w:hAnsi="Verdana"/>
          <w:sz w:val="18"/>
          <w:szCs w:val="18"/>
        </w:rPr>
        <w:t>2.</w:t>
      </w:r>
      <w:r w:rsidR="005F3CE3">
        <w:rPr>
          <w:rFonts w:ascii="Verdana" w:hAnsi="Verdana"/>
          <w:sz w:val="18"/>
          <w:szCs w:val="18"/>
        </w:rPr>
        <w:tab/>
      </w:r>
      <w:r w:rsidRPr="003A100C">
        <w:rPr>
          <w:rFonts w:ascii="Verdana" w:hAnsi="Verdana"/>
          <w:sz w:val="18"/>
          <w:szCs w:val="18"/>
        </w:rPr>
        <w:t xml:space="preserve">L'atto di appello contenente i motivi deve essere depositato entro il termine di trenta giorni decorrenti dalla ricezione dell'avviso di pubblicazione della sentenza. </w:t>
      </w:r>
    </w:p>
    <w:p w14:paraId="306D0878" w14:textId="77777777" w:rsidR="007B15E1" w:rsidRPr="007B15E1" w:rsidRDefault="003A100C" w:rsidP="003A100C">
      <w:pPr>
        <w:tabs>
          <w:tab w:val="left" w:pos="426"/>
        </w:tabs>
        <w:spacing w:after="120"/>
        <w:jc w:val="both"/>
        <w:rPr>
          <w:rFonts w:ascii="Verdana" w:hAnsi="Verdana"/>
          <w:sz w:val="18"/>
          <w:szCs w:val="18"/>
        </w:rPr>
      </w:pPr>
      <w:r w:rsidRPr="003A100C">
        <w:rPr>
          <w:rFonts w:ascii="Verdana" w:hAnsi="Verdana"/>
          <w:sz w:val="18"/>
          <w:szCs w:val="18"/>
        </w:rPr>
        <w:t>3.</w:t>
      </w:r>
      <w:r w:rsidR="005F3CE3">
        <w:rPr>
          <w:rFonts w:ascii="Verdana" w:hAnsi="Verdana"/>
          <w:sz w:val="18"/>
          <w:szCs w:val="18"/>
        </w:rPr>
        <w:tab/>
      </w:r>
      <w:r w:rsidRPr="003A100C">
        <w:rPr>
          <w:rFonts w:ascii="Verdana" w:hAnsi="Verdana"/>
          <w:sz w:val="18"/>
          <w:szCs w:val="18"/>
        </w:rPr>
        <w:t>Per quanto non disposto dal presente articolo si applicano le norme dell'articolo 131.</w:t>
      </w:r>
    </w:p>
    <w:sectPr w:rsidR="007B15E1" w:rsidRPr="007B15E1" w:rsidSect="003A100C">
      <w:headerReference w:type="default" r:id="rId7"/>
      <w:foot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0845" w14:textId="77777777" w:rsidR="003A100C" w:rsidRDefault="003A100C" w:rsidP="003A100C">
      <w:pPr>
        <w:spacing w:after="0" w:line="240" w:lineRule="auto"/>
      </w:pPr>
      <w:r>
        <w:separator/>
      </w:r>
    </w:p>
  </w:endnote>
  <w:endnote w:type="continuationSeparator" w:id="0">
    <w:p w14:paraId="44D25C70" w14:textId="77777777" w:rsidR="003A100C" w:rsidRDefault="003A100C" w:rsidP="003A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A4F9" w14:textId="7DC51685" w:rsidR="005B1F09" w:rsidRPr="005B1F09" w:rsidRDefault="005B1F09" w:rsidP="005B1F09">
    <w:pPr>
      <w:pStyle w:val="Pidipagina"/>
      <w:tabs>
        <w:tab w:val="right" w:pos="8505"/>
      </w:tabs>
      <w:rPr>
        <w:rFonts w:ascii="Verdana" w:hAnsi="Verdana"/>
        <w:i/>
        <w:sz w:val="17"/>
        <w:szCs w:val="17"/>
      </w:rPr>
    </w:pPr>
    <w:r w:rsidRPr="005B1F09">
      <w:rPr>
        <w:rFonts w:ascii="Verdana" w:hAnsi="Verdana"/>
        <w:i/>
        <w:sz w:val="17"/>
        <w:szCs w:val="17"/>
      </w:rPr>
      <w:t xml:space="preserve">Ultimo aggiornamento: </w:t>
    </w:r>
    <w:r w:rsidR="0074578A">
      <w:rPr>
        <w:rFonts w:ascii="Verdana" w:hAnsi="Verdana"/>
        <w:i/>
        <w:sz w:val="17"/>
        <w:szCs w:val="17"/>
      </w:rPr>
      <w:t>01</w:t>
    </w:r>
    <w:r w:rsidRPr="005B1F09">
      <w:rPr>
        <w:rFonts w:ascii="Verdana" w:hAnsi="Verdana"/>
        <w:i/>
        <w:sz w:val="17"/>
        <w:szCs w:val="17"/>
      </w:rPr>
      <w:t>/08/20</w:t>
    </w:r>
    <w:r w:rsidR="0074578A">
      <w:rPr>
        <w:rFonts w:ascii="Verdana" w:hAnsi="Verdana"/>
        <w:i/>
        <w:sz w:val="17"/>
        <w:szCs w:val="17"/>
      </w:rPr>
      <w:t>22</w:t>
    </w:r>
    <w:r w:rsidRPr="005B1F09">
      <w:rPr>
        <w:rFonts w:ascii="Verdana" w:hAnsi="Verdana"/>
        <w:i/>
        <w:sz w:val="17"/>
        <w:szCs w:val="17"/>
      </w:rPr>
      <w:tab/>
    </w:r>
    <w:r w:rsidRPr="005B1F09">
      <w:rPr>
        <w:rFonts w:ascii="Verdana" w:hAnsi="Verdana"/>
        <w:i/>
        <w:sz w:val="17"/>
        <w:szCs w:val="17"/>
      </w:rPr>
      <w:tab/>
    </w:r>
    <w:r w:rsidRPr="005B1F09">
      <w:rPr>
        <w:rFonts w:ascii="Verdana" w:hAnsi="Verdana"/>
        <w:i/>
        <w:sz w:val="17"/>
        <w:szCs w:val="17"/>
      </w:rPr>
      <w:fldChar w:fldCharType="begin"/>
    </w:r>
    <w:r w:rsidRPr="005B1F09">
      <w:rPr>
        <w:rFonts w:ascii="Verdana" w:hAnsi="Verdana"/>
        <w:i/>
        <w:sz w:val="17"/>
        <w:szCs w:val="17"/>
      </w:rPr>
      <w:instrText>PAGE   \* MERGEFORMAT</w:instrText>
    </w:r>
    <w:r w:rsidRPr="005B1F09">
      <w:rPr>
        <w:rFonts w:ascii="Verdana" w:hAnsi="Verdana"/>
        <w:i/>
        <w:sz w:val="17"/>
        <w:szCs w:val="17"/>
      </w:rPr>
      <w:fldChar w:fldCharType="separate"/>
    </w:r>
    <w:r w:rsidR="00824FA7">
      <w:rPr>
        <w:rFonts w:ascii="Verdana" w:hAnsi="Verdana"/>
        <w:i/>
        <w:noProof/>
        <w:sz w:val="17"/>
        <w:szCs w:val="17"/>
      </w:rPr>
      <w:t>1</w:t>
    </w:r>
    <w:r w:rsidRPr="005B1F09">
      <w:rPr>
        <w:rFonts w:ascii="Verdana" w:hAnsi="Verdana"/>
        <w:i/>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B005" w14:textId="77777777" w:rsidR="003A100C" w:rsidRDefault="003A100C" w:rsidP="003A100C">
      <w:pPr>
        <w:spacing w:after="0" w:line="240" w:lineRule="auto"/>
      </w:pPr>
      <w:r>
        <w:separator/>
      </w:r>
    </w:p>
  </w:footnote>
  <w:footnote w:type="continuationSeparator" w:id="0">
    <w:p w14:paraId="6A933198" w14:textId="77777777" w:rsidR="003A100C" w:rsidRDefault="003A100C" w:rsidP="003A100C">
      <w:pPr>
        <w:spacing w:after="0" w:line="240" w:lineRule="auto"/>
      </w:pPr>
      <w:r>
        <w:continuationSeparator/>
      </w:r>
    </w:p>
  </w:footnote>
  <w:footnote w:id="1">
    <w:p w14:paraId="4921B323" w14:textId="77777777" w:rsidR="003A100C" w:rsidRPr="003A100C" w:rsidRDefault="003A100C" w:rsidP="005B1F09">
      <w:pPr>
        <w:pStyle w:val="Testonotaapidipagina"/>
        <w:spacing w:line="276" w:lineRule="auto"/>
        <w:jc w:val="both"/>
        <w:rPr>
          <w:rFonts w:ascii="Verdana" w:hAnsi="Verdana"/>
          <w:sz w:val="16"/>
          <w:szCs w:val="16"/>
        </w:rPr>
      </w:pPr>
      <w:r w:rsidRPr="003A100C">
        <w:rPr>
          <w:rStyle w:val="Rimandonotaapidipagina"/>
          <w:rFonts w:ascii="Verdana" w:hAnsi="Verdana"/>
          <w:sz w:val="16"/>
          <w:szCs w:val="16"/>
        </w:rPr>
        <w:footnoteRef/>
      </w:r>
      <w:r w:rsidRPr="003A100C">
        <w:rPr>
          <w:rFonts w:ascii="Verdana" w:hAnsi="Verdana"/>
          <w:sz w:val="16"/>
          <w:szCs w:val="16"/>
        </w:rPr>
        <w:t xml:space="preserve"> Estratto relativo alle parti di interesse in materia elettorale.</w:t>
      </w:r>
    </w:p>
  </w:footnote>
  <w:footnote w:id="2">
    <w:p w14:paraId="2CE221F4" w14:textId="77777777" w:rsidR="003A100C" w:rsidRPr="003A100C" w:rsidRDefault="003A100C" w:rsidP="005B1F09">
      <w:pPr>
        <w:pStyle w:val="Testonotaapidipagina"/>
        <w:spacing w:line="276" w:lineRule="auto"/>
        <w:jc w:val="both"/>
        <w:rPr>
          <w:rFonts w:ascii="Verdana" w:hAnsi="Verdana"/>
          <w:sz w:val="16"/>
          <w:szCs w:val="16"/>
        </w:rPr>
      </w:pPr>
      <w:r w:rsidRPr="003A100C">
        <w:rPr>
          <w:rStyle w:val="Rimandonotaapidipagina"/>
          <w:rFonts w:ascii="Verdana" w:hAnsi="Verdana"/>
          <w:sz w:val="16"/>
          <w:szCs w:val="16"/>
        </w:rPr>
        <w:footnoteRef/>
      </w:r>
      <w:r w:rsidRPr="003A100C">
        <w:rPr>
          <w:rFonts w:ascii="Verdana" w:hAnsi="Verdana"/>
          <w:sz w:val="16"/>
          <w:szCs w:val="16"/>
        </w:rPr>
        <w:t xml:space="preserve"> Il D.L. 27 giugno 2015, n. 83, convertito con modificazioni dalla L. 6 agosto 2015, n. 132, ha disposto (con l'art. 20, comma 1-ter) che la modifica al comma 2 del presente articolo decorre dall'entrata in vigore dell'art. 16 del D.L. 12 settembre 2014, n. 132, convertito con modificazioni dalla L. 10 novembre 2014, n. 162, come modificato dal medesimo comma 1-ter dell'art. 20.</w:t>
      </w:r>
    </w:p>
  </w:footnote>
  <w:footnote w:id="3">
    <w:p w14:paraId="7A3D581E" w14:textId="77777777" w:rsidR="003A100C" w:rsidRPr="003A100C" w:rsidRDefault="003A100C" w:rsidP="005B1F09">
      <w:pPr>
        <w:pStyle w:val="Testonotaapidipagina"/>
        <w:spacing w:line="276" w:lineRule="auto"/>
        <w:jc w:val="both"/>
        <w:rPr>
          <w:rFonts w:ascii="Verdana" w:hAnsi="Verdana"/>
          <w:sz w:val="16"/>
          <w:szCs w:val="16"/>
        </w:rPr>
      </w:pPr>
      <w:r w:rsidRPr="003A100C">
        <w:rPr>
          <w:rStyle w:val="Rimandonotaapidipagina"/>
          <w:rFonts w:ascii="Verdana" w:hAnsi="Verdana"/>
          <w:sz w:val="16"/>
          <w:szCs w:val="16"/>
        </w:rPr>
        <w:footnoteRef/>
      </w:r>
      <w:r w:rsidRPr="003A100C">
        <w:rPr>
          <w:rFonts w:ascii="Verdana" w:hAnsi="Verdana"/>
          <w:sz w:val="16"/>
          <w:szCs w:val="16"/>
        </w:rPr>
        <w:t xml:space="preserve"> Il D.L. 27 giugno 2015, n. 83, convertito con modificazioni dalla L. 6 agosto 2015, n. 132, ha disposto (con l'art. 20, comma 1-bis) che la modifica del comma 4 del presente articolo decorre dall'entrata in vigore del processo amministrativo telematico. Il D.L. 31 agosto 2016, n. 168, convertito con modificazioni dalla L. 25 ottobre 2016, n. 197, nel modificare l'art. 20, comma 1-bis del D.L. 27 giugno 2015, n. 83, convertito con modificazioni dalla L. 6 agosto 2015, n. 132, ha conseguentemente disposto (con l'art. 7, comma 3) che la modifica del comma 4 del presente articolo ha efficacia con riguardo ai giudizi introdotti con i ricorsi depositati, in primo o in secondo grado, a far data dal 1° gennaio 2017; ai ricorsi depositati anteriormente a tale data, continuano ad applicarsi, fino all'esaurimento del grado di giudizio nel quale sono pendenti alla data stessa e comunque non oltre il 1° gennaio 2018, le norme vigenti alla data di entrata in vigore del medesimo D.L. 31 agosto 2016, n. 168.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8"/>
      <w:gridCol w:w="5016"/>
    </w:tblGrid>
    <w:tr w:rsidR="003A100C" w14:paraId="41BC1E44" w14:textId="77777777" w:rsidTr="00EE1AB0">
      <w:tc>
        <w:tcPr>
          <w:tcW w:w="3505" w:type="dxa"/>
          <w:vAlign w:val="center"/>
          <w:hideMark/>
        </w:tcPr>
        <w:p w14:paraId="5623E16C" w14:textId="64E7949E" w:rsidR="003A100C" w:rsidRDefault="007320FC" w:rsidP="00EE1AB0">
          <w:pPr>
            <w:rPr>
              <w:rFonts w:ascii="Verdana" w:hAnsi="Verdana"/>
              <w:b/>
              <w:noProof/>
              <w:sz w:val="26"/>
              <w:szCs w:val="26"/>
              <w:lang w:eastAsia="it-IT"/>
            </w:rPr>
          </w:pPr>
          <w:r w:rsidRPr="007B2E07">
            <w:rPr>
              <w:rFonts w:ascii="Verdana" w:hAnsi="Verdana"/>
              <w:b/>
              <w:noProof/>
              <w:sz w:val="26"/>
              <w:szCs w:val="26"/>
              <w:lang w:eastAsia="it-IT"/>
            </w:rPr>
            <w:drawing>
              <wp:inline distT="0" distB="0" distL="0" distR="0" wp14:anchorId="233D6C5C" wp14:editId="0672BBAC">
                <wp:extent cx="1655014" cy="6300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14" cy="630000"/>
                        </a:xfrm>
                        <a:prstGeom prst="rect">
                          <a:avLst/>
                        </a:prstGeom>
                        <a:noFill/>
                        <a:ln>
                          <a:noFill/>
                        </a:ln>
                      </pic:spPr>
                    </pic:pic>
                  </a:graphicData>
                </a:graphic>
              </wp:inline>
            </w:drawing>
          </w:r>
        </w:p>
      </w:tc>
      <w:tc>
        <w:tcPr>
          <w:tcW w:w="5108" w:type="dxa"/>
          <w:vAlign w:val="center"/>
          <w:hideMark/>
        </w:tcPr>
        <w:p w14:paraId="398BC2C7" w14:textId="77777777" w:rsidR="003A100C" w:rsidRDefault="003A100C" w:rsidP="00EE1AB0">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67432F08" wp14:editId="1770455D">
                <wp:extent cx="739140" cy="6248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14:paraId="68E1E59A" w14:textId="77777777" w:rsidR="003A100C" w:rsidRDefault="003A100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E1"/>
    <w:rsid w:val="00082517"/>
    <w:rsid w:val="00200F3A"/>
    <w:rsid w:val="003A100C"/>
    <w:rsid w:val="004A212F"/>
    <w:rsid w:val="004B7716"/>
    <w:rsid w:val="004D49AA"/>
    <w:rsid w:val="00584955"/>
    <w:rsid w:val="005B1F09"/>
    <w:rsid w:val="005F3CE3"/>
    <w:rsid w:val="007320FC"/>
    <w:rsid w:val="0074578A"/>
    <w:rsid w:val="007B15E1"/>
    <w:rsid w:val="007F7759"/>
    <w:rsid w:val="00824FA7"/>
    <w:rsid w:val="00AC5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FF4F"/>
  <w15:docId w15:val="{0CBDD47E-2630-41E6-8308-FC16A4C9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12F"/>
    <w:pPr>
      <w:ind w:left="720"/>
      <w:contextualSpacing/>
    </w:pPr>
  </w:style>
  <w:style w:type="paragraph" w:styleId="Intestazione">
    <w:name w:val="header"/>
    <w:basedOn w:val="Normale"/>
    <w:link w:val="IntestazioneCarattere"/>
    <w:uiPriority w:val="99"/>
    <w:unhideWhenUsed/>
    <w:rsid w:val="003A10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100C"/>
  </w:style>
  <w:style w:type="paragraph" w:styleId="Pidipagina">
    <w:name w:val="footer"/>
    <w:basedOn w:val="Normale"/>
    <w:link w:val="PidipaginaCarattere"/>
    <w:uiPriority w:val="99"/>
    <w:unhideWhenUsed/>
    <w:qFormat/>
    <w:rsid w:val="003A10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00C"/>
  </w:style>
  <w:style w:type="paragraph" w:styleId="Testofumetto">
    <w:name w:val="Balloon Text"/>
    <w:basedOn w:val="Normale"/>
    <w:link w:val="TestofumettoCarattere"/>
    <w:uiPriority w:val="99"/>
    <w:semiHidden/>
    <w:unhideWhenUsed/>
    <w:rsid w:val="003A10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00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A10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100C"/>
    <w:rPr>
      <w:sz w:val="20"/>
      <w:szCs w:val="20"/>
    </w:rPr>
  </w:style>
  <w:style w:type="character" w:styleId="Rimandonotaapidipagina">
    <w:name w:val="footnote reference"/>
    <w:basedOn w:val="Carpredefinitoparagrafo"/>
    <w:uiPriority w:val="99"/>
    <w:semiHidden/>
    <w:unhideWhenUsed/>
    <w:rsid w:val="003A1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3FA0-BF62-4CE0-BA7F-1477DE90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3</cp:revision>
  <dcterms:created xsi:type="dcterms:W3CDTF">2022-08-01T12:02:00Z</dcterms:created>
  <dcterms:modified xsi:type="dcterms:W3CDTF">2022-08-01T12:08:00Z</dcterms:modified>
</cp:coreProperties>
</file>