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B75BB">
        <w:rPr>
          <w:rFonts w:ascii="Verdana" w:hAnsi="Verdana"/>
          <w:b/>
          <w:color w:val="4E3F85"/>
          <w:sz w:val="20"/>
          <w:szCs w:val="20"/>
        </w:rPr>
        <w:t>DEC</w:t>
      </w:r>
      <w:bookmarkStart w:id="0" w:name="_GoBack"/>
      <w:bookmarkEnd w:id="0"/>
      <w:r w:rsidRPr="004B75BB">
        <w:rPr>
          <w:rFonts w:ascii="Verdana" w:hAnsi="Verdana"/>
          <w:b/>
          <w:color w:val="4E3F85"/>
          <w:sz w:val="20"/>
          <w:szCs w:val="20"/>
        </w:rPr>
        <w:t>RETO LEGISLATIVO 6 settembre 2011, n. 159</w:t>
      </w:r>
    </w:p>
    <w:p w:rsidR="00E84F39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B75BB">
        <w:rPr>
          <w:rFonts w:ascii="Verdana" w:hAnsi="Verdana"/>
          <w:sz w:val="20"/>
          <w:szCs w:val="20"/>
        </w:rPr>
        <w:t>Codice delle leggi antimafia e delle misure di prevenzione, nonché nuove disposizioni in materia di documentazione antimafia, a norma degli articoli 1 e 2 della legge 13 agosto 2010, n. 136. (11G0201)</w:t>
      </w:r>
      <w:r w:rsidRPr="004B75BB">
        <w:rPr>
          <w:sz w:val="20"/>
          <w:szCs w:val="20"/>
          <w:vertAlign w:val="superscript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Visti gli articoli 1 e 2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136,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recante piano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mafie,</w:t>
      </w:r>
      <w:r>
        <w:rPr>
          <w:rFonts w:ascii="Verdana" w:hAnsi="Verdana"/>
          <w:sz w:val="18"/>
          <w:szCs w:val="18"/>
        </w:rPr>
        <w:t xml:space="preserve"> nonché </w:t>
      </w:r>
      <w:r w:rsidRPr="004B75BB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 xml:space="preserve">Governo in </w:t>
      </w:r>
      <w:r>
        <w:rPr>
          <w:rFonts w:ascii="Verdana" w:hAnsi="Verdana"/>
          <w:sz w:val="18"/>
          <w:szCs w:val="18"/>
        </w:rPr>
        <w:t>materia di normativa antimafia;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Ritenuto di procedere all'esercizio di entrambe le deleghe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unico decreto legislat</w:t>
      </w:r>
      <w:r>
        <w:rPr>
          <w:rFonts w:ascii="Verdana" w:hAnsi="Verdana"/>
          <w:sz w:val="18"/>
          <w:szCs w:val="18"/>
        </w:rPr>
        <w:t>ivo;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 ne</w:t>
      </w:r>
      <w:r>
        <w:rPr>
          <w:rFonts w:ascii="Verdana" w:hAnsi="Verdana"/>
          <w:sz w:val="18"/>
          <w:szCs w:val="18"/>
        </w:rPr>
        <w:t>lla riunione del 9 giugno 2011;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3 agosto 2011;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l'innovazione;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 legislativo: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-66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Art. 67. - Effetti delle misure di prevenzione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1.-6.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Dal termine stabilito per la presentazione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liste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 e fino alla chiusura delle operazioni di voto, alle persone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sottoposte, in forza di provvedimenti definitivi, alla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sorveglianza speciale 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pubblica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sicurezza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divieto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svolgere le attività</w:t>
      </w:r>
      <w:r w:rsidR="008D4601" w:rsidRPr="008D4601">
        <w:rPr>
          <w:rFonts w:ascii="Verdana" w:hAnsi="Verdana"/>
          <w:sz w:val="18"/>
          <w:szCs w:val="18"/>
        </w:rPr>
        <w:t xml:space="preserve"> di propaganda elettorale previste dalla legge 4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aprile 1956,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n.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212,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favore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pregiudizio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partecipanti a qualsiasi tipo di competizione elettorale.</w:t>
      </w:r>
    </w:p>
    <w:p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68.-75.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76. - Altre sanzioni penali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1.-7.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8D4601" w:rsidRPr="008D4601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Salvo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costituisca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pi</w:t>
      </w:r>
      <w:r w:rsidR="008D4601">
        <w:rPr>
          <w:rFonts w:ascii="Verdana" w:hAnsi="Verdana"/>
          <w:sz w:val="18"/>
          <w:szCs w:val="18"/>
        </w:rPr>
        <w:t xml:space="preserve">ù </w:t>
      </w:r>
      <w:r w:rsidR="008D4601" w:rsidRPr="008D4601">
        <w:rPr>
          <w:rFonts w:ascii="Verdana" w:hAnsi="Verdana"/>
          <w:sz w:val="18"/>
          <w:szCs w:val="18"/>
        </w:rPr>
        <w:t>grave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reato,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contravventore al divieto di cui all'articolo 67, comma 7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punito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 la reclusione da uno a sei anni. La stessa pena si applica al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avendo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diretta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conoscenza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condizione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sottoposto in via definitiva alla misura della sorveglianza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speciale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 pubblica sicurezza, richiede al medesimo di svolgere le</w:t>
      </w:r>
      <w:r w:rsidR="008D4601">
        <w:rPr>
          <w:rFonts w:ascii="Verdana" w:hAnsi="Verdana"/>
          <w:sz w:val="18"/>
          <w:szCs w:val="18"/>
        </w:rPr>
        <w:t xml:space="preserve"> attività </w:t>
      </w:r>
      <w:r w:rsidR="008D4601" w:rsidRPr="008D4601">
        <w:rPr>
          <w:rFonts w:ascii="Verdana" w:hAnsi="Verdana"/>
          <w:sz w:val="18"/>
          <w:szCs w:val="18"/>
        </w:rPr>
        <w:t>di propaganda elettorale previste all'articolo 67, comma 7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avvale concretamente. L'esistenza del fatto deve risultare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anche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prove diverse dalle dichiarazioni del soggetto sottoposto alla 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 xml:space="preserve">di prevenzione. </w:t>
      </w:r>
    </w:p>
    <w:p w:rsidR="004B75BB" w:rsidRPr="004B75BB" w:rsidRDefault="008D4601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D4601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D4601">
        <w:rPr>
          <w:rFonts w:ascii="Verdana" w:hAnsi="Verdana"/>
          <w:sz w:val="18"/>
          <w:szCs w:val="18"/>
        </w:rPr>
        <w:t>La condanna alla pena 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all'applicazione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dell'articolo 444 del codice 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previsto dal comma 8, comporta l'interdizione dai pubblici uffici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 durata della pena detentiva. A tal fine la cancelleria del giudice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pronunciato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dell'estratto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esecutivo, chiusa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piego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sigillato,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appartenenza per l'adozione degli atti di competenza. Nel caso in cui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 condannato sia un membro del Parlamento, la Camera di appartenenza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adotta le conseguenti determinazioni secondo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regolamento.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Dall'interdizione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</w:t>
      </w:r>
      <w:r>
        <w:rPr>
          <w:rFonts w:ascii="Verdana" w:hAnsi="Verdana"/>
          <w:sz w:val="18"/>
          <w:szCs w:val="18"/>
        </w:rPr>
        <w:t xml:space="preserve"> l'ineleggibilità</w:t>
      </w:r>
      <w:r w:rsidRPr="008D4601">
        <w:rPr>
          <w:rFonts w:ascii="Verdana" w:hAnsi="Verdana"/>
          <w:sz w:val="18"/>
          <w:szCs w:val="18"/>
        </w:rPr>
        <w:t xml:space="preserve"> del condannato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detentiva. La sospensione condizionale della pena non 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fini dell'interdizione dai pubblici uffici.</w:t>
      </w:r>
    </w:p>
    <w:sectPr w:rsidR="004B75BB" w:rsidRPr="004B75B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5067" w:rsidTr="001C3EA2">
      <w:tc>
        <w:tcPr>
          <w:tcW w:w="3505" w:type="dxa"/>
          <w:shd w:val="clear" w:color="auto" w:fill="auto"/>
          <w:vAlign w:val="center"/>
        </w:tcPr>
        <w:p w:rsidR="00A85067" w:rsidRPr="00A47199" w:rsidRDefault="00A85067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85067" w:rsidRPr="00A47199" w:rsidRDefault="00A85067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5067" w:rsidRDefault="00A850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4B75BB"/>
    <w:rsid w:val="008D4601"/>
    <w:rsid w:val="009A3353"/>
    <w:rsid w:val="00A85067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7DB7-4BC7-4C6A-A8BA-277F4018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2018-01-03T12:14:00Z</dcterms:created>
  <dcterms:modified xsi:type="dcterms:W3CDTF">2018-01-07T15:46:00Z</dcterms:modified>
</cp:coreProperties>
</file>