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A5E74">
        <w:rPr>
          <w:rFonts w:ascii="Verdana" w:hAnsi="Verdana" w:cs="Arial"/>
          <w:b/>
          <w:color w:val="4E3F85"/>
          <w:sz w:val="20"/>
          <w:szCs w:val="20"/>
        </w:rPr>
        <w:t>LEGGE 13 ago</w:t>
      </w:r>
      <w:r>
        <w:rPr>
          <w:rFonts w:ascii="Verdana" w:hAnsi="Verdana" w:cs="Arial"/>
          <w:b/>
          <w:color w:val="4E3F85"/>
          <w:sz w:val="20"/>
          <w:szCs w:val="20"/>
        </w:rPr>
        <w:t>sto 1979, n. 384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A5E74">
        <w:rPr>
          <w:rFonts w:ascii="Verdana" w:hAnsi="Verdana" w:cs="Arial"/>
          <w:sz w:val="20"/>
          <w:szCs w:val="20"/>
        </w:rPr>
        <w:t>Trattamento dei membri del Parlament</w:t>
      </w:r>
      <w:r>
        <w:rPr>
          <w:rFonts w:ascii="Verdana" w:hAnsi="Verdana" w:cs="Arial"/>
          <w:sz w:val="20"/>
          <w:szCs w:val="20"/>
        </w:rPr>
        <w:t>o europeo spettanti all'Italia</w:t>
      </w:r>
      <w:r w:rsidRPr="00BA5E74">
        <w:rPr>
          <w:rFonts w:ascii="Verdana" w:hAnsi="Verdana" w:cs="Arial"/>
          <w:sz w:val="20"/>
          <w:szCs w:val="20"/>
        </w:rPr>
        <w:t>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approvato;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IL PRESIDENTE DELLA REPUBBLICA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PROMULGA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 seguente legge:</w:t>
      </w:r>
    </w:p>
    <w:p w:rsid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 Parlamento europeo spettanti all'Italia, che non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 giorno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sarà </w:t>
      </w:r>
      <w:r w:rsidRPr="00BA5E74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all'indennit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percepita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 applicazione dell'articolo 1 della legge 31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ottobre 1965, n. 1261.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All'indennità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 primo comma si estendono, 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applicabili,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divieti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cumulo stabiliti dall'articolo 3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31 ottobre 1965, n. 1261, nonch</w:t>
      </w:r>
      <w:r>
        <w:rPr>
          <w:rFonts w:ascii="Verdana" w:hAnsi="Verdana"/>
          <w:sz w:val="18"/>
          <w:szCs w:val="18"/>
        </w:rPr>
        <w:t>é</w:t>
      </w:r>
      <w:r w:rsidRPr="00BA5E74">
        <w:rPr>
          <w:rFonts w:ascii="Verdana" w:hAnsi="Verdana"/>
          <w:sz w:val="18"/>
          <w:szCs w:val="18"/>
        </w:rPr>
        <w:t xml:space="preserve"> il trattamento di 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48,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1973,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597, e la ritenuta nella misura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penultimo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 settembre 1973, n. 600 e successive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modificazioni.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  <w:t xml:space="preserve">L'indennità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comma </w:t>
      </w:r>
      <w:r>
        <w:rPr>
          <w:rFonts w:ascii="Verdana" w:hAnsi="Verdana"/>
          <w:sz w:val="18"/>
          <w:szCs w:val="18"/>
        </w:rPr>
        <w:t>è</w:t>
      </w:r>
      <w:r w:rsidRPr="00BA5E74">
        <w:rPr>
          <w:rFonts w:ascii="Verdana" w:hAnsi="Verdana"/>
          <w:sz w:val="18"/>
          <w:szCs w:val="18"/>
        </w:rPr>
        <w:t xml:space="preserve"> cumulabile con quelle 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viaggio,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segreteria,</w:t>
      </w:r>
      <w:r>
        <w:rPr>
          <w:rFonts w:ascii="Verdana" w:hAnsi="Verdana"/>
          <w:sz w:val="18"/>
          <w:szCs w:val="18"/>
        </w:rPr>
        <w:t xml:space="preserve"> nonché</w:t>
      </w:r>
      <w:r w:rsidRPr="00BA5E74">
        <w:rPr>
          <w:rFonts w:ascii="Verdana" w:hAnsi="Verdana"/>
          <w:sz w:val="18"/>
          <w:szCs w:val="18"/>
        </w:rPr>
        <w:t xml:space="preserve"> con i rimborsi, 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assicurazioni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assistenziali,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corrisposti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direttamente dalla Comunit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economica europea.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cui all'articolo 88 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Presidente della Repubblica 30 marzo 1957, n. 361, quale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modificato con l'articolo 4 della legge 31 ottobre 1965, n. 1261.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Il primo comma dell'articolo 31 della legge 20 maggio 1970, n. 300,</w:t>
      </w:r>
      <w:r>
        <w:rPr>
          <w:rFonts w:ascii="Verdana" w:hAnsi="Verdana"/>
          <w:sz w:val="18"/>
          <w:szCs w:val="18"/>
        </w:rPr>
        <w:t xml:space="preserve"> è</w:t>
      </w:r>
      <w:r w:rsidRPr="00BA5E74">
        <w:rPr>
          <w:rFonts w:ascii="Verdana" w:hAnsi="Verdana"/>
          <w:sz w:val="18"/>
          <w:szCs w:val="18"/>
        </w:rPr>
        <w:t xml:space="preserve"> sostituito dal seguente: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"I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lavoratori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 eletti membri del Parlamento nazionale 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Parlamento europeo o di assemblee regionali ovvero siano chiamati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elettive possono, a richiesta, essere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collocati in aspettativa non retribuita, per tutta la durata del loro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mandato".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Parlamento europeo indicati nell'articolo 1,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comunitaria, hanno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all'assistenza sanitaria con gli enti 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previste per i membri del Parlamento nazionale, secondo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 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tesoro. Agli stessi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è </w:t>
      </w:r>
      <w:r w:rsidRPr="00BA5E74">
        <w:rPr>
          <w:rFonts w:ascii="Verdana" w:hAnsi="Verdana"/>
          <w:sz w:val="18"/>
          <w:szCs w:val="18"/>
        </w:rPr>
        <w:t>concessa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la tessera di libera circolazione sull'intera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ferroviaria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numero di biglietti aerei su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tratte nazionali per un importo annuo massimo corrispondente al costo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quaranta biglietti aerei di andata e ritorno fra Roma e le singole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residenze o localit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della circoscrizio</w:t>
      </w:r>
      <w:bookmarkStart w:id="0" w:name="_GoBack"/>
      <w:bookmarkEnd w:id="0"/>
      <w:r w:rsidRPr="00BA5E74">
        <w:rPr>
          <w:rFonts w:ascii="Verdana" w:hAnsi="Verdana"/>
          <w:sz w:val="18"/>
          <w:szCs w:val="18"/>
        </w:rPr>
        <w:t>ne in cui sono stati eletti.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 Parlamento europeo spettanti all'Italia, 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l'indennità</w:t>
      </w:r>
      <w:r w:rsidRPr="00BA5E74">
        <w:rPr>
          <w:rFonts w:ascii="Verdana" w:hAnsi="Verdana"/>
          <w:sz w:val="18"/>
          <w:szCs w:val="18"/>
        </w:rPr>
        <w:t xml:space="preserve"> di 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legge 31 ottobre 1965, n. 1261, </w:t>
      </w:r>
      <w:r>
        <w:rPr>
          <w:rFonts w:ascii="Verdana" w:hAnsi="Verdana"/>
          <w:sz w:val="18"/>
          <w:szCs w:val="18"/>
        </w:rPr>
        <w:t>è</w:t>
      </w:r>
      <w:r w:rsidRPr="00BA5E74">
        <w:rPr>
          <w:rFonts w:ascii="Verdana" w:hAnsi="Verdana"/>
          <w:sz w:val="18"/>
          <w:szCs w:val="18"/>
        </w:rPr>
        <w:t xml:space="preserve"> cumulabile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viaggio, di segreteria, nonché</w:t>
      </w:r>
      <w:r w:rsidRPr="00BA5E74">
        <w:rPr>
          <w:rFonts w:ascii="Verdana" w:hAnsi="Verdana"/>
          <w:sz w:val="18"/>
          <w:szCs w:val="18"/>
        </w:rPr>
        <w:t xml:space="preserve"> con 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rimborsi,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assicurazioni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assistenziali,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corrisposti direttamente dalla Comunit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economica europea.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spettanti all'Italia, 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 il trattamento previsto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dall'articolo 1 e si applicano le disposizioni di cui agli articoli 2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 3 della presente legge.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L'indennità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di cui al primo comma dell'articolo 1 non </w:t>
      </w:r>
      <w:r>
        <w:rPr>
          <w:rFonts w:ascii="Verdana" w:hAnsi="Verdana"/>
          <w:sz w:val="18"/>
          <w:szCs w:val="18"/>
        </w:rPr>
        <w:t xml:space="preserve">è </w:t>
      </w:r>
      <w:r w:rsidRPr="00BA5E74">
        <w:rPr>
          <w:rFonts w:ascii="Verdana" w:hAnsi="Verdana"/>
          <w:sz w:val="18"/>
          <w:szCs w:val="18"/>
        </w:rPr>
        <w:t>cumulabile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l'indennit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consigliere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Restano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diarie a titolo di rimborso spese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l'esperimento del mandato regionale.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derivante dall'attuazione della presente legge, valutato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1979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700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milioni,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corrispondente riduzione dello stanziamento iscritto al capitolo 6854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previsione della spesa del Ministero del tesoro,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l'anno finanziario medesimo.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 </w:t>
      </w: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è</w:t>
      </w:r>
      <w:r w:rsidRPr="00BA5E74">
        <w:rPr>
          <w:rFonts w:ascii="Verdana" w:hAnsi="Verdana"/>
          <w:sz w:val="18"/>
          <w:szCs w:val="18"/>
        </w:rPr>
        <w:t xml:space="preserve"> iscritta in apposito capitolo, da qualificarsi "spesa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obbligatoria",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previsione della spesa del Ministero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inerenti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saranno espletati dalla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Direzione generale del Tesoro.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corresponsione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dell'indennit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di cui alla presente legge 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ordinativo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diretto emesso a favore degli interessati,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estinguibile, a richiesta dei medesimi, anche mediante accreditamento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 conto corrente bancario.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occorrenti variazioni di bilancio.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munit</w:t>
      </w:r>
      <w:r>
        <w:rPr>
          <w:rFonts w:ascii="Verdana" w:hAnsi="Verdana"/>
          <w:sz w:val="18"/>
          <w:szCs w:val="18"/>
        </w:rPr>
        <w:t>a del sigillo dello Stato, sarà</w:t>
      </w:r>
      <w:r w:rsidRPr="00BA5E74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BA5E74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BA5E74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osservare come legge dello Stato.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BA5E74">
        <w:rPr>
          <w:rFonts w:ascii="Verdana" w:hAnsi="Verdana"/>
          <w:sz w:val="18"/>
          <w:szCs w:val="18"/>
        </w:rPr>
        <w:t xml:space="preserve"> 13 agosto 1979</w:t>
      </w:r>
    </w:p>
    <w:p w:rsidR="00BA5E74" w:rsidRPr="00BA5E74" w:rsidRDefault="00BA5E74" w:rsidP="00480BC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PERTINI</w:t>
      </w:r>
    </w:p>
    <w:p w:rsidR="00BA5E74" w:rsidRPr="00BA5E74" w:rsidRDefault="00BA5E74" w:rsidP="00480BC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COSSIGA - MALFATTI -</w:t>
      </w:r>
    </w:p>
    <w:p w:rsidR="00BA5E74" w:rsidRPr="00BA5E74" w:rsidRDefault="00BA5E74" w:rsidP="00BA5E7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PANDOLFI - REVIGLIO</w:t>
      </w:r>
    </w:p>
    <w:p w:rsidR="00BA5E74" w:rsidRPr="00BA5E74" w:rsidRDefault="00BA5E74" w:rsidP="00480BC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Visto, il Guardasigilli: MORLINO</w:t>
      </w:r>
    </w:p>
    <w:sectPr w:rsidR="00BA5E74" w:rsidRPr="00BA5E74" w:rsidSect="0080048A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A" w:rsidRDefault="0080048A" w:rsidP="0080048A">
      <w:pPr>
        <w:spacing w:after="0" w:line="240" w:lineRule="auto"/>
      </w:pPr>
      <w:r>
        <w:separator/>
      </w:r>
    </w:p>
  </w:endnote>
  <w:endnote w:type="continuationSeparator" w:id="0">
    <w:p w:rsidR="0080048A" w:rsidRDefault="0080048A" w:rsidP="008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1F" w:rsidRPr="0061261F" w:rsidRDefault="0061261F" w:rsidP="0061261F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 w:rsidRPr="0061261F">
      <w:rPr>
        <w:rFonts w:ascii="Verdana" w:hAnsi="Verdana"/>
        <w:i/>
        <w:sz w:val="17"/>
        <w:szCs w:val="17"/>
      </w:rPr>
      <w:t>Ultimo aggiornamento: 24/08/2018</w:t>
    </w:r>
    <w:r w:rsidRPr="0061261F">
      <w:rPr>
        <w:rFonts w:ascii="Verdana" w:hAnsi="Verdana"/>
        <w:i/>
        <w:sz w:val="17"/>
        <w:szCs w:val="17"/>
      </w:rPr>
      <w:tab/>
    </w:r>
    <w:r w:rsidRPr="0061261F">
      <w:rPr>
        <w:rFonts w:ascii="Verdana" w:hAnsi="Verdana"/>
        <w:i/>
        <w:sz w:val="17"/>
        <w:szCs w:val="17"/>
      </w:rPr>
      <w:tab/>
    </w:r>
    <w:r w:rsidRPr="0061261F">
      <w:rPr>
        <w:rFonts w:ascii="Verdana" w:hAnsi="Verdana"/>
        <w:i/>
        <w:sz w:val="17"/>
        <w:szCs w:val="17"/>
      </w:rPr>
      <w:fldChar w:fldCharType="begin"/>
    </w:r>
    <w:r w:rsidRPr="0061261F">
      <w:rPr>
        <w:rFonts w:ascii="Verdana" w:hAnsi="Verdana"/>
        <w:i/>
        <w:sz w:val="17"/>
        <w:szCs w:val="17"/>
      </w:rPr>
      <w:instrText>PAGE   \* MERGEFORMAT</w:instrText>
    </w:r>
    <w:r w:rsidRPr="0061261F"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2</w:t>
    </w:r>
    <w:r w:rsidRPr="0061261F"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A" w:rsidRDefault="0080048A" w:rsidP="0080048A">
      <w:pPr>
        <w:spacing w:after="0" w:line="240" w:lineRule="auto"/>
      </w:pPr>
      <w:r>
        <w:separator/>
      </w:r>
    </w:p>
  </w:footnote>
  <w:footnote w:type="continuationSeparator" w:id="0">
    <w:p w:rsidR="0080048A" w:rsidRDefault="0080048A" w:rsidP="0080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0048A" w:rsidTr="00EE1AB0">
      <w:tc>
        <w:tcPr>
          <w:tcW w:w="3505" w:type="dxa"/>
          <w:vAlign w:val="center"/>
          <w:hideMark/>
        </w:tcPr>
        <w:p w:rsidR="0080048A" w:rsidRDefault="0080048A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0048A" w:rsidRDefault="0080048A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48A" w:rsidRDefault="008004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4"/>
    <w:rsid w:val="00480BCF"/>
    <w:rsid w:val="0061261F"/>
    <w:rsid w:val="0080048A"/>
    <w:rsid w:val="00BA5E74"/>
    <w:rsid w:val="00D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8A"/>
  </w:style>
  <w:style w:type="paragraph" w:styleId="Pidipagina">
    <w:name w:val="footer"/>
    <w:basedOn w:val="Normale"/>
    <w:link w:val="PidipaginaCarattere"/>
    <w:uiPriority w:val="99"/>
    <w:unhideWhenUsed/>
    <w:qFormat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8A"/>
  </w:style>
  <w:style w:type="paragraph" w:styleId="Pidipagina">
    <w:name w:val="footer"/>
    <w:basedOn w:val="Normale"/>
    <w:link w:val="PidipaginaCarattere"/>
    <w:uiPriority w:val="99"/>
    <w:unhideWhenUsed/>
    <w:qFormat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2018-08-24T14:31:00Z</dcterms:created>
  <dcterms:modified xsi:type="dcterms:W3CDTF">2018-08-24T14:31:00Z</dcterms:modified>
</cp:coreProperties>
</file>