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5" w:rsidRPr="00A25A45" w:rsidRDefault="00DC740F" w:rsidP="00A25A4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>
        <w:rPr>
          <w:rFonts w:ascii="Verdana" w:hAnsi="Verdana" w:cs="Arial"/>
          <w:b/>
          <w:color w:val="4E3F85"/>
          <w:sz w:val="20"/>
          <w:szCs w:val="20"/>
        </w:rPr>
        <w:t>LEGGE 13 febbraio 1953, n. 60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Incompatibilità</w:t>
      </w:r>
      <w:r w:rsidRPr="00A25A45">
        <w:rPr>
          <w:rFonts w:ascii="Verdana" w:hAnsi="Verdana" w:cs="Arial"/>
          <w:sz w:val="20"/>
          <w:szCs w:val="20"/>
        </w:rPr>
        <w:t xml:space="preserve"> parlamentari.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IL PRESIDENTE DELLA REPUBBLICA</w:t>
      </w:r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PROMULGA</w:t>
      </w:r>
      <w:bookmarkStart w:id="0" w:name="_GoBack"/>
      <w:bookmarkEnd w:id="0"/>
    </w:p>
    <w:p w:rsidR="00A25A45" w:rsidRPr="00A25A45" w:rsidRDefault="00A25A45" w:rsidP="00A25A4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la seguente legge: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1"/>
      </w:r>
    </w:p>
    <w:p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ricoprire cariche o uffici di 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specie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designazione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Stato.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Sono escluse dal divieto le cariche in enti culturali, assistenziali, di culto e 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enti-fiera,</w:t>
      </w:r>
      <w:r>
        <w:rPr>
          <w:rFonts w:ascii="Verdana" w:hAnsi="Verdana"/>
          <w:sz w:val="18"/>
          <w:szCs w:val="18"/>
        </w:rPr>
        <w:t xml:space="preserve"> nonché </w:t>
      </w:r>
      <w:r w:rsidRPr="00A25A4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Università </w:t>
      </w:r>
      <w:r w:rsidRPr="00A25A4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studi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superiore a seguito di designazione elettiva dei Corpi accademici, salve le disposizioni dell'art. 2 della legge 9 agosto 1948, n. 1102. Sono parimenti escluse le nomine compiute dal Governo, in base a norma di legge, su designazione delle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categoria.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1-bis.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5A45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 di componente 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è </w:t>
      </w:r>
      <w:r w:rsidRPr="00A25A45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l'ufficio di componente di assemblee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organi esecutivi, nazionali o regionali, in Stati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esteri.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2"/>
      </w:r>
    </w:p>
    <w:p w:rsidR="00A25A45" w:rsidRPr="00A25A45" w:rsidRDefault="00A25A45" w:rsidP="00A25A4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Fuori dei casi previsti nel primo comma dell'art. 1, i membri del Parlamento no</w:t>
      </w:r>
      <w:r>
        <w:rPr>
          <w:rFonts w:ascii="Verdana" w:hAnsi="Verdana"/>
          <w:sz w:val="18"/>
          <w:szCs w:val="18"/>
        </w:rPr>
        <w:t>n possono ricoprire cariche, né</w:t>
      </w:r>
      <w:r w:rsidRPr="00A25A45">
        <w:rPr>
          <w:rFonts w:ascii="Verdana" w:hAnsi="Verdana"/>
          <w:sz w:val="18"/>
          <w:szCs w:val="18"/>
        </w:rPr>
        <w:t xml:space="preserve"> esercitare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amministratore, presidente, liquidatore, sindaco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revisore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centrale,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consulente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legale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prestazioni di carattere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gestiscano servizi di qualunque genere per conto dello Stato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pubblica Amministrazione, o ai quali 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contribuisca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ordinaria, direttamente o indirettamente. 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applicano alle incompatibilità</w:t>
      </w:r>
      <w:r w:rsidRPr="00A25A45">
        <w:rPr>
          <w:rFonts w:ascii="Verdana" w:hAnsi="Verdana"/>
          <w:sz w:val="18"/>
          <w:szCs w:val="18"/>
        </w:rPr>
        <w:t xml:space="preserve"> previste nel presente articolo le esclusioni indicate nel </w:t>
      </w:r>
      <w:r>
        <w:rPr>
          <w:rFonts w:ascii="Verdana" w:hAnsi="Verdana"/>
          <w:sz w:val="18"/>
          <w:szCs w:val="18"/>
        </w:rPr>
        <w:t>secondo comma dell'art. 1.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3"/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</w:t>
      </w:r>
      <w:r>
        <w:rPr>
          <w:rFonts w:ascii="Verdana" w:hAnsi="Verdana"/>
          <w:sz w:val="18"/>
          <w:szCs w:val="18"/>
        </w:rPr>
        <w:t xml:space="preserve">ssono ricoprire le cariche, né </w:t>
      </w:r>
      <w:r w:rsidRPr="00A25A45">
        <w:rPr>
          <w:rFonts w:ascii="Verdana" w:hAnsi="Verdana"/>
          <w:sz w:val="18"/>
          <w:szCs w:val="18"/>
        </w:rPr>
        <w:t>esercitare le funzioni di 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bancari o in società</w:t>
      </w:r>
      <w:r w:rsidRPr="00A25A45">
        <w:rPr>
          <w:rFonts w:ascii="Verdana" w:hAnsi="Verdana"/>
          <w:sz w:val="18"/>
          <w:szCs w:val="18"/>
        </w:rPr>
        <w:t xml:space="preserve"> per azioni che abbiano, come scopo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prevalente,</w:t>
      </w:r>
      <w:r>
        <w:rPr>
          <w:rFonts w:ascii="Verdana" w:hAnsi="Verdana"/>
          <w:sz w:val="18"/>
          <w:szCs w:val="18"/>
        </w:rPr>
        <w:t xml:space="preserve"> l'esercizio di attività</w:t>
      </w:r>
      <w:r w:rsidRPr="00A25A45">
        <w:rPr>
          <w:rFonts w:ascii="Verdana" w:hAnsi="Verdana"/>
          <w:sz w:val="18"/>
          <w:szCs w:val="18"/>
        </w:rPr>
        <w:t xml:space="preserve"> finanziarie, ad eccezione degli 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credito a carattere cooperativo, i quali non operino fuori della loro</w:t>
      </w:r>
      <w:r>
        <w:rPr>
          <w:rFonts w:ascii="Verdana" w:hAnsi="Verdana"/>
          <w:sz w:val="18"/>
          <w:szCs w:val="18"/>
        </w:rPr>
        <w:t xml:space="preserve"> sede.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Style w:val="Rimandonotaapidipagina"/>
          <w:rFonts w:ascii="Verdana" w:hAnsi="Verdana" w:cs="Arial"/>
          <w:b/>
          <w:color w:val="1F497D" w:themeColor="text2"/>
          <w:sz w:val="18"/>
          <w:szCs w:val="18"/>
        </w:rPr>
        <w:footnoteReference w:id="4"/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 membri del Parlamento non possono assumere il patrocinio professionale,</w:t>
      </w:r>
      <w:r>
        <w:rPr>
          <w:rFonts w:ascii="Verdana" w:hAnsi="Verdana"/>
          <w:sz w:val="18"/>
          <w:szCs w:val="18"/>
        </w:rPr>
        <w:t xml:space="preserve"> né</w:t>
      </w:r>
      <w:r w:rsidRPr="00A25A4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forma,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prestare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assistenza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 xml:space="preserve">consulenza ad imprese di carattere finanziario od </w:t>
      </w:r>
      <w:r w:rsidRPr="00A25A45">
        <w:rPr>
          <w:rFonts w:ascii="Verdana" w:hAnsi="Verdana" w:cs="Arial"/>
          <w:sz w:val="18"/>
          <w:szCs w:val="18"/>
        </w:rPr>
        <w:t>economico in loro vertenze o rapporti di affari con lo Stato.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 possono es</w:t>
      </w:r>
      <w:r>
        <w:rPr>
          <w:rFonts w:ascii="Verdana" w:hAnsi="Verdana"/>
          <w:sz w:val="18"/>
          <w:szCs w:val="18"/>
        </w:rPr>
        <w:t>sere assegnate indennità</w:t>
      </w:r>
      <w:r w:rsidRPr="00A25A45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compensi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per l'esercizio di funzioni di presidenza o amministrazione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loro Ministeri o su cui i loro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Ministeri debbano o possano esercitare vigilanza o controllo.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rivestito funzioni di Governo, anche dopo la cessazione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mandato parlamentare, non può</w:t>
      </w:r>
      <w:r w:rsidRPr="00A25A45">
        <w:rPr>
          <w:rFonts w:ascii="Verdana" w:hAnsi="Verdana"/>
          <w:sz w:val="18"/>
          <w:szCs w:val="18"/>
        </w:rPr>
        <w:t xml:space="preserve"> assumere le cariche o 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o nelle società</w:t>
      </w:r>
      <w:r w:rsidRPr="00A25A45">
        <w:rPr>
          <w:rFonts w:ascii="Verdana" w:hAnsi="Verdana"/>
          <w:sz w:val="18"/>
          <w:szCs w:val="18"/>
        </w:rPr>
        <w:t>, enti 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articoli 1, 2 e 3 della presente legge, 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cessazione delle funzioni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governative.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membri del Parlamento per i quali esista o si determini qualcuna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negli articoli precedenti debbono,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 termine di trenta giorni dalla pubblicazione della presente legge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Ufficiale, optare fra le cariche che ricoprono ed il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mandato parlamentare.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accertamenti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e le is</w:t>
      </w:r>
      <w:r>
        <w:rPr>
          <w:rFonts w:ascii="Verdana" w:hAnsi="Verdana"/>
          <w:sz w:val="18"/>
          <w:szCs w:val="18"/>
        </w:rPr>
        <w:t>truttorie sulle incompatibilità</w:t>
      </w:r>
      <w:r w:rsidRPr="00A25A45">
        <w:rPr>
          <w:rFonts w:ascii="Verdana" w:hAnsi="Verdana"/>
          <w:sz w:val="18"/>
          <w:szCs w:val="18"/>
        </w:rPr>
        <w:t xml:space="preserve"> 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 Giunta delle elezioni 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del Senato, che è</w:t>
      </w:r>
      <w:r w:rsidRPr="00A25A45">
        <w:rPr>
          <w:rFonts w:ascii="Verdana" w:hAnsi="Verdana"/>
          <w:sz w:val="18"/>
          <w:szCs w:val="18"/>
        </w:rPr>
        <w:t xml:space="preserve"> investita del caso 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Assemblea,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secondo che trattisi di un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deputato o di un senatore che non abbia ottemperato a quanto disposto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nell'articolo precedente.</w:t>
      </w: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25A45" w:rsidRPr="00A25A45" w:rsidRDefault="00A25A45" w:rsidP="00A25A4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5A45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A25A45" w:rsidRPr="00A25A45" w:rsidRDefault="00A25A45" w:rsidP="00A25A4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25A45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Costituzione, restano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5A4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varie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A25A45">
        <w:rPr>
          <w:rFonts w:ascii="Verdana" w:hAnsi="Verdana"/>
          <w:sz w:val="18"/>
          <w:szCs w:val="18"/>
        </w:rPr>
        <w:t>contenute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vigenti,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salve, per queste</w:t>
      </w:r>
      <w:r>
        <w:rPr>
          <w:rFonts w:ascii="Verdana" w:hAnsi="Verdana"/>
          <w:sz w:val="18"/>
          <w:szCs w:val="18"/>
        </w:rPr>
        <w:t xml:space="preserve"> </w:t>
      </w:r>
      <w:r w:rsidRPr="00A25A45">
        <w:rPr>
          <w:rFonts w:ascii="Verdana" w:hAnsi="Verdana"/>
          <w:sz w:val="18"/>
          <w:szCs w:val="18"/>
        </w:rPr>
        <w:t>ultime, le modifiche apportate dalla presente legge.</w:t>
      </w:r>
    </w:p>
    <w:p w:rsidR="001107F6" w:rsidRPr="00E134F8" w:rsidRDefault="001107F6" w:rsidP="001107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1107F6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delle leggi e dei decreti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15 febbraio 1953</w:t>
      </w:r>
    </w:p>
    <w:p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EINAUDI</w:t>
      </w:r>
    </w:p>
    <w:p w:rsidR="001107F6" w:rsidRPr="00E134F8" w:rsidRDefault="001107F6" w:rsidP="001107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GASPERI</w:t>
      </w:r>
    </w:p>
    <w:p w:rsidR="001107F6" w:rsidRPr="00E134F8" w:rsidRDefault="001107F6" w:rsidP="001107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ZOLI</w:t>
      </w:r>
    </w:p>
    <w:sectPr w:rsidR="001107F6" w:rsidRPr="00E134F8" w:rsidSect="00A25A45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F" w:rsidRDefault="00DC740F" w:rsidP="00A25A45">
      <w:pPr>
        <w:spacing w:after="0" w:line="240" w:lineRule="auto"/>
      </w:pPr>
      <w:r>
        <w:separator/>
      </w:r>
    </w:p>
  </w:endnote>
  <w:endnote w:type="continuationSeparator" w:id="0">
    <w:p w:rsidR="00DC740F" w:rsidRDefault="00DC740F" w:rsidP="00A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0" w:rsidRPr="005F4B40" w:rsidRDefault="005F4B40" w:rsidP="005F4B40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F" w:rsidRDefault="00DC740F" w:rsidP="00A25A45">
      <w:pPr>
        <w:spacing w:after="0" w:line="240" w:lineRule="auto"/>
      </w:pPr>
      <w:r>
        <w:separator/>
      </w:r>
    </w:p>
  </w:footnote>
  <w:footnote w:type="continuationSeparator" w:id="0">
    <w:p w:rsidR="00DC740F" w:rsidRDefault="00DC740F" w:rsidP="00A25A45">
      <w:pPr>
        <w:spacing w:after="0" w:line="240" w:lineRule="auto"/>
      </w:pPr>
      <w:r>
        <w:continuationSeparator/>
      </w:r>
    </w:p>
  </w:footnote>
  <w:footnote w:id="1">
    <w:p w:rsidR="00DC740F" w:rsidRPr="00A25A45" w:rsidRDefault="00DC740F" w:rsidP="005F4B40">
      <w:pPr>
        <w:tabs>
          <w:tab w:val="left" w:pos="426"/>
        </w:tabs>
        <w:spacing w:after="0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La Corte Costituzionale, con sentenza 17 - 21 ottobre 2011, n. 277 (in G.U. 1a s.s. 26/10/2011, n. 45) ha dichiarato l'illegittimità costituzionale degli articoli 1, 2, 3 e 4 della presente legge nella parte in cui non prevedono l'incompatibilità tra la carica di parlamentare e quella di sindaco di Comune con popolazione superiore ai 20.000 abitanti.</w:t>
      </w:r>
    </w:p>
  </w:footnote>
  <w:footnote w:id="2">
    <w:p w:rsidR="00DC740F" w:rsidRPr="00A25A45" w:rsidRDefault="00DC740F" w:rsidP="005F4B4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3">
    <w:p w:rsidR="00DC740F" w:rsidRPr="00A25A45" w:rsidRDefault="00DC740F" w:rsidP="005F4B4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  <w:footnote w:id="4">
    <w:p w:rsidR="00DC740F" w:rsidRDefault="00DC740F" w:rsidP="005F4B40">
      <w:pPr>
        <w:pStyle w:val="Testonotaapidipagina"/>
        <w:jc w:val="both"/>
      </w:pPr>
      <w:r w:rsidRPr="00A25A45">
        <w:rPr>
          <w:rStyle w:val="Rimandonotaapidipagina"/>
          <w:rFonts w:ascii="Verdana" w:hAnsi="Verdana"/>
          <w:sz w:val="16"/>
          <w:szCs w:val="16"/>
        </w:rPr>
        <w:footnoteRef/>
      </w:r>
      <w:r w:rsidRPr="00A25A45">
        <w:rPr>
          <w:rFonts w:ascii="Verdana" w:hAnsi="Verdana"/>
          <w:sz w:val="16"/>
          <w:szCs w:val="16"/>
        </w:rPr>
        <w:t xml:space="preserve"> 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D27F2" w:rsidTr="003D27F2">
      <w:tc>
        <w:tcPr>
          <w:tcW w:w="3505" w:type="dxa"/>
          <w:vAlign w:val="center"/>
          <w:hideMark/>
        </w:tcPr>
        <w:p w:rsidR="003D27F2" w:rsidRDefault="003D27F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3D27F2" w:rsidRDefault="003D27F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7F2" w:rsidRDefault="003D27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5"/>
    <w:rsid w:val="00032275"/>
    <w:rsid w:val="001107F6"/>
    <w:rsid w:val="001B70C6"/>
    <w:rsid w:val="003412D7"/>
    <w:rsid w:val="003D27F2"/>
    <w:rsid w:val="004D6905"/>
    <w:rsid w:val="00586D3A"/>
    <w:rsid w:val="005F4B40"/>
    <w:rsid w:val="009B3E6D"/>
    <w:rsid w:val="00A25A45"/>
    <w:rsid w:val="00DC740F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A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2"/>
  </w:style>
  <w:style w:type="paragraph" w:styleId="Pidipagina">
    <w:name w:val="footer"/>
    <w:basedOn w:val="Normale"/>
    <w:link w:val="PidipaginaCarattere"/>
    <w:uiPriority w:val="99"/>
    <w:unhideWhenUsed/>
    <w:qFormat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A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5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2"/>
  </w:style>
  <w:style w:type="paragraph" w:styleId="Pidipagina">
    <w:name w:val="footer"/>
    <w:basedOn w:val="Normale"/>
    <w:link w:val="PidipaginaCarattere"/>
    <w:uiPriority w:val="99"/>
    <w:unhideWhenUsed/>
    <w:qFormat/>
    <w:rsid w:val="003D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0050-888C-4EB3-967A-2646118B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2018-08-24T16:06:00Z</dcterms:created>
  <dcterms:modified xsi:type="dcterms:W3CDTF">2018-08-24T16:06:00Z</dcterms:modified>
</cp:coreProperties>
</file>