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4BA1" w14:textId="77777777" w:rsidR="00A25A45" w:rsidRPr="00A25A45" w:rsidRDefault="00DC740F" w:rsidP="00A25A45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>
        <w:rPr>
          <w:rFonts w:ascii="Verdana" w:hAnsi="Verdana" w:cs="Arial"/>
          <w:b/>
          <w:color w:val="4E3F85"/>
          <w:sz w:val="20"/>
          <w:szCs w:val="20"/>
        </w:rPr>
        <w:t>LEGGE 13 febbraio 1953, n. 60</w:t>
      </w:r>
    </w:p>
    <w:p w14:paraId="68065739" w14:textId="77777777" w:rsidR="00A25A45" w:rsidRPr="00A25A45" w:rsidRDefault="00A25A45" w:rsidP="00A25A45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Incompatibilità</w:t>
      </w:r>
      <w:r w:rsidRPr="00A25A45">
        <w:rPr>
          <w:rFonts w:ascii="Verdana" w:hAnsi="Verdana" w:cs="Arial"/>
          <w:sz w:val="20"/>
          <w:szCs w:val="20"/>
        </w:rPr>
        <w:t xml:space="preserve"> parlamentari. </w:t>
      </w:r>
    </w:p>
    <w:p w14:paraId="564D0996" w14:textId="77777777" w:rsidR="00A25A45" w:rsidRP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64759E33" w14:textId="77777777" w:rsidR="00A25A45" w:rsidRPr="00A25A45" w:rsidRDefault="00A25A45" w:rsidP="00A25A4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25A45">
        <w:rPr>
          <w:rFonts w:ascii="Verdana" w:hAnsi="Verdana"/>
          <w:sz w:val="18"/>
          <w:szCs w:val="18"/>
        </w:rPr>
        <w:t>La Camera dei deputati ed il Senato della Repubblica hanno approvato;</w:t>
      </w:r>
    </w:p>
    <w:p w14:paraId="0F42FB26" w14:textId="77777777" w:rsidR="00A25A45" w:rsidRPr="00A25A45" w:rsidRDefault="00A25A45" w:rsidP="00A25A4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25A45">
        <w:rPr>
          <w:rFonts w:ascii="Verdana" w:hAnsi="Verdana"/>
          <w:sz w:val="18"/>
          <w:szCs w:val="18"/>
        </w:rPr>
        <w:t>IL PRESIDENTE DELLA REPUBBLICA</w:t>
      </w:r>
    </w:p>
    <w:p w14:paraId="17A99482" w14:textId="77777777" w:rsidR="00A25A45" w:rsidRPr="00A25A45" w:rsidRDefault="00A25A45" w:rsidP="00A25A4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25A45">
        <w:rPr>
          <w:rFonts w:ascii="Verdana" w:hAnsi="Verdana"/>
          <w:sz w:val="18"/>
          <w:szCs w:val="18"/>
        </w:rPr>
        <w:t>PROMULGA</w:t>
      </w:r>
    </w:p>
    <w:p w14:paraId="5FB2FF70" w14:textId="77777777" w:rsidR="00A25A45" w:rsidRPr="00A25A45" w:rsidRDefault="00A25A45" w:rsidP="00A25A4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25A45">
        <w:rPr>
          <w:rFonts w:ascii="Verdana" w:hAnsi="Verdana"/>
          <w:sz w:val="18"/>
          <w:szCs w:val="18"/>
        </w:rPr>
        <w:t>la seguente legge:</w:t>
      </w:r>
    </w:p>
    <w:p w14:paraId="70FE5F13" w14:textId="77777777"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6992519D" w14:textId="77777777"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t>Art. 1.</w:t>
      </w:r>
      <w:r>
        <w:rPr>
          <w:rStyle w:val="Rimandonotaapidipagina"/>
          <w:rFonts w:ascii="Verdana" w:hAnsi="Verdana" w:cs="Arial"/>
          <w:b/>
          <w:color w:val="1F497D" w:themeColor="text2"/>
          <w:sz w:val="18"/>
          <w:szCs w:val="18"/>
        </w:rPr>
        <w:footnoteReference w:id="1"/>
      </w:r>
    </w:p>
    <w:p w14:paraId="2D51DBAA" w14:textId="77777777" w:rsidR="00A25A45" w:rsidRPr="00A25A45" w:rsidRDefault="00A25A45" w:rsidP="00A25A4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I membri del Parlamento non possono ricoprire cariche o uffici di qualsiasi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specie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privati,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nomina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designazione del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dell'Amministrazione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 xml:space="preserve">Stato. </w:t>
      </w:r>
    </w:p>
    <w:p w14:paraId="3864C440" w14:textId="77777777" w:rsidR="00A25A45" w:rsidRP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Sono escluse dal divieto le cariche in enti culturali, assistenziali, di culto e in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enti-fiera,</w:t>
      </w:r>
      <w:r>
        <w:rPr>
          <w:rFonts w:ascii="Verdana" w:hAnsi="Verdana"/>
          <w:sz w:val="18"/>
          <w:szCs w:val="18"/>
        </w:rPr>
        <w:t xml:space="preserve"> nonché </w:t>
      </w:r>
      <w:r w:rsidRPr="00A25A45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conferite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Università </w:t>
      </w:r>
      <w:r w:rsidRPr="00A25A45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studi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Istituti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istruzione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superiore a seguito di designazione elettiva dei Corpi accademici, salve le disposizioni dell'art. 2 della legge 9 agosto 1948, n. 1102. Sono parimenti escluse le nomine compiute dal Governo, in base a norma di legge, su designazione delle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organizzazioni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categoria.</w:t>
      </w:r>
    </w:p>
    <w:p w14:paraId="0CC9ADA2" w14:textId="77777777"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3016E649" w14:textId="77777777"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25A45">
        <w:rPr>
          <w:rFonts w:ascii="Verdana" w:hAnsi="Verdana" w:cs="Arial"/>
          <w:b/>
          <w:color w:val="1F497D" w:themeColor="text2"/>
          <w:sz w:val="18"/>
          <w:szCs w:val="18"/>
        </w:rPr>
        <w:t>Art. 1-bis.</w:t>
      </w:r>
    </w:p>
    <w:p w14:paraId="798D4E77" w14:textId="77777777" w:rsid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25A45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deputato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senatore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 di componente del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è </w:t>
      </w:r>
      <w:r w:rsidRPr="00A25A45">
        <w:rPr>
          <w:rFonts w:ascii="Verdana" w:hAnsi="Verdana"/>
          <w:sz w:val="18"/>
          <w:szCs w:val="18"/>
        </w:rPr>
        <w:t>incompatibile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l'ufficio di componente di assemblee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legislative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organi esecutivi, nazionali o regionali, in Stati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esteri.</w:t>
      </w:r>
    </w:p>
    <w:p w14:paraId="3D08242A" w14:textId="77777777"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7C603FB0" w14:textId="77777777"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t>Art. 2.</w:t>
      </w:r>
      <w:r>
        <w:rPr>
          <w:rStyle w:val="Rimandonotaapidipagina"/>
          <w:rFonts w:ascii="Verdana" w:hAnsi="Verdana" w:cs="Arial"/>
          <w:b/>
          <w:color w:val="1F497D" w:themeColor="text2"/>
          <w:sz w:val="18"/>
          <w:szCs w:val="18"/>
        </w:rPr>
        <w:footnoteReference w:id="2"/>
      </w:r>
    </w:p>
    <w:p w14:paraId="13783A60" w14:textId="77777777" w:rsidR="00A25A45" w:rsidRPr="00A25A45" w:rsidRDefault="00A25A45" w:rsidP="00A25A4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Fuori dei casi previsti nel primo comma dell'art. 1, i membri del Parlamento no</w:t>
      </w:r>
      <w:r>
        <w:rPr>
          <w:rFonts w:ascii="Verdana" w:hAnsi="Verdana"/>
          <w:sz w:val="18"/>
          <w:szCs w:val="18"/>
        </w:rPr>
        <w:t>n possono ricoprire cariche, né</w:t>
      </w:r>
      <w:r w:rsidRPr="00A25A45">
        <w:rPr>
          <w:rFonts w:ascii="Verdana" w:hAnsi="Verdana"/>
          <w:sz w:val="18"/>
          <w:szCs w:val="18"/>
        </w:rPr>
        <w:t xml:space="preserve"> esercitare funzioni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amministratore, presidente, liquidatore, sindaco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revisore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direttore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generale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centrale,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consulente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legale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amministrativo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prestazioni di carattere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permanente,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associazioni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gestiscano servizi di qualunque genere per conto dello Stato 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pubblica Amministrazione, o ai quali lo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contribuisca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via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 xml:space="preserve">ordinaria, direttamente o indirettamente. </w:t>
      </w:r>
    </w:p>
    <w:p w14:paraId="06643D09" w14:textId="77777777" w:rsidR="00A25A45" w:rsidRP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applicano alle incompatibilità</w:t>
      </w:r>
      <w:r w:rsidRPr="00A25A45">
        <w:rPr>
          <w:rFonts w:ascii="Verdana" w:hAnsi="Verdana"/>
          <w:sz w:val="18"/>
          <w:szCs w:val="18"/>
        </w:rPr>
        <w:t xml:space="preserve"> previste nel presente articolo le esclusioni indicate nel </w:t>
      </w:r>
      <w:r>
        <w:rPr>
          <w:rFonts w:ascii="Verdana" w:hAnsi="Verdana"/>
          <w:sz w:val="18"/>
          <w:szCs w:val="18"/>
        </w:rPr>
        <w:t>secondo comma dell'art. 1.</w:t>
      </w:r>
    </w:p>
    <w:p w14:paraId="4E8632AC" w14:textId="77777777"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0D52D75D" w14:textId="77777777"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t>Art. 3.</w:t>
      </w:r>
      <w:r>
        <w:rPr>
          <w:rStyle w:val="Rimandonotaapidipagina"/>
          <w:rFonts w:ascii="Verdana" w:hAnsi="Verdana" w:cs="Arial"/>
          <w:b/>
          <w:color w:val="1F497D" w:themeColor="text2"/>
          <w:sz w:val="18"/>
          <w:szCs w:val="18"/>
        </w:rPr>
        <w:footnoteReference w:id="3"/>
      </w:r>
    </w:p>
    <w:p w14:paraId="3E1CCD52" w14:textId="77777777" w:rsidR="00A25A45" w:rsidRP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I membri del Parlamento non po</w:t>
      </w:r>
      <w:r>
        <w:rPr>
          <w:rFonts w:ascii="Verdana" w:hAnsi="Verdana"/>
          <w:sz w:val="18"/>
          <w:szCs w:val="18"/>
        </w:rPr>
        <w:t xml:space="preserve">ssono ricoprire le cariche, né </w:t>
      </w:r>
      <w:r w:rsidRPr="00A25A45">
        <w:rPr>
          <w:rFonts w:ascii="Verdana" w:hAnsi="Verdana"/>
          <w:sz w:val="18"/>
          <w:szCs w:val="18"/>
        </w:rPr>
        <w:t>esercitare le funzioni di cui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istituti</w:t>
      </w:r>
      <w:r>
        <w:rPr>
          <w:rFonts w:ascii="Verdana" w:hAnsi="Verdana"/>
          <w:sz w:val="18"/>
          <w:szCs w:val="18"/>
        </w:rPr>
        <w:t xml:space="preserve"> bancari o in società</w:t>
      </w:r>
      <w:r w:rsidRPr="00A25A45">
        <w:rPr>
          <w:rFonts w:ascii="Verdana" w:hAnsi="Verdana"/>
          <w:sz w:val="18"/>
          <w:szCs w:val="18"/>
        </w:rPr>
        <w:t xml:space="preserve"> per azioni che abbiano, come scopo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lastRenderedPageBreak/>
        <w:t>prevalente,</w:t>
      </w:r>
      <w:r>
        <w:rPr>
          <w:rFonts w:ascii="Verdana" w:hAnsi="Verdana"/>
          <w:sz w:val="18"/>
          <w:szCs w:val="18"/>
        </w:rPr>
        <w:t xml:space="preserve"> l'esercizio di attività</w:t>
      </w:r>
      <w:r w:rsidRPr="00A25A45">
        <w:rPr>
          <w:rFonts w:ascii="Verdana" w:hAnsi="Verdana"/>
          <w:sz w:val="18"/>
          <w:szCs w:val="18"/>
        </w:rPr>
        <w:t xml:space="preserve"> finanziarie, ad eccezione degli istituti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credito a carattere cooperativo, i quali non operino fuori della loro</w:t>
      </w:r>
      <w:r>
        <w:rPr>
          <w:rFonts w:ascii="Verdana" w:hAnsi="Verdana"/>
          <w:sz w:val="18"/>
          <w:szCs w:val="18"/>
        </w:rPr>
        <w:t xml:space="preserve"> sede.</w:t>
      </w:r>
    </w:p>
    <w:p w14:paraId="71FDA804" w14:textId="77777777"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2B238A81" w14:textId="77777777"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t>Art. 4.</w:t>
      </w:r>
      <w:r>
        <w:rPr>
          <w:rStyle w:val="Rimandonotaapidipagina"/>
          <w:rFonts w:ascii="Verdana" w:hAnsi="Verdana" w:cs="Arial"/>
          <w:b/>
          <w:color w:val="1F497D" w:themeColor="text2"/>
          <w:sz w:val="18"/>
          <w:szCs w:val="18"/>
        </w:rPr>
        <w:footnoteReference w:id="4"/>
      </w:r>
    </w:p>
    <w:p w14:paraId="0D8543D1" w14:textId="77777777" w:rsidR="00A25A45" w:rsidRPr="00A25A45" w:rsidRDefault="00A25A45" w:rsidP="00A25A45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I membri del Parlamento non possono assumere il patrocinio professionale,</w:t>
      </w:r>
      <w:r>
        <w:rPr>
          <w:rFonts w:ascii="Verdana" w:hAnsi="Verdana"/>
          <w:sz w:val="18"/>
          <w:szCs w:val="18"/>
        </w:rPr>
        <w:t xml:space="preserve"> né</w:t>
      </w:r>
      <w:r w:rsidRPr="00A25A45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qualsiasi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forma,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prestare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assistenza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 xml:space="preserve">consulenza ad imprese di carattere finanziario od </w:t>
      </w:r>
      <w:r w:rsidRPr="00A25A45">
        <w:rPr>
          <w:rFonts w:ascii="Verdana" w:hAnsi="Verdana" w:cs="Arial"/>
          <w:sz w:val="18"/>
          <w:szCs w:val="18"/>
        </w:rPr>
        <w:t>economico in loro vertenze o rapporti di affari con lo Stato.</w:t>
      </w:r>
    </w:p>
    <w:p w14:paraId="4C87714E" w14:textId="77777777"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0312A903" w14:textId="77777777"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25A45">
        <w:rPr>
          <w:rFonts w:ascii="Verdana" w:hAnsi="Verdana" w:cs="Arial"/>
          <w:b/>
          <w:color w:val="1F497D" w:themeColor="text2"/>
          <w:sz w:val="18"/>
          <w:szCs w:val="18"/>
        </w:rPr>
        <w:t>Art. 5.</w:t>
      </w:r>
    </w:p>
    <w:p w14:paraId="7DEA8C3D" w14:textId="77777777" w:rsid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non possono es</w:t>
      </w:r>
      <w:r>
        <w:rPr>
          <w:rFonts w:ascii="Verdana" w:hAnsi="Verdana"/>
          <w:sz w:val="18"/>
          <w:szCs w:val="18"/>
        </w:rPr>
        <w:t>sere assegnate indennità</w:t>
      </w:r>
      <w:r w:rsidRPr="00A25A45">
        <w:rPr>
          <w:rFonts w:ascii="Verdana" w:hAnsi="Verdana"/>
          <w:sz w:val="18"/>
          <w:szCs w:val="18"/>
        </w:rPr>
        <w:t xml:space="preserve"> 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compensi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per l'esercizio di funzioni di presidenza o amministrazione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aziende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dipendenti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loro Ministeri o su cui i loro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Ministeri debbano o possano esercitare vigilanza o controllo.</w:t>
      </w:r>
    </w:p>
    <w:p w14:paraId="2A12EA30" w14:textId="77777777"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32AEFEBE" w14:textId="77777777"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25A45">
        <w:rPr>
          <w:rFonts w:ascii="Verdana" w:hAnsi="Verdana" w:cs="Arial"/>
          <w:b/>
          <w:color w:val="1F497D" w:themeColor="text2"/>
          <w:sz w:val="18"/>
          <w:szCs w:val="18"/>
        </w:rPr>
        <w:t>Art. 6.</w:t>
      </w:r>
    </w:p>
    <w:p w14:paraId="7E6F878D" w14:textId="77777777" w:rsid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Chi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abbia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rivestito funzioni di Governo, anche dopo la cessazione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mandato parlamentare, non può</w:t>
      </w:r>
      <w:r w:rsidRPr="00A25A45">
        <w:rPr>
          <w:rFonts w:ascii="Verdana" w:hAnsi="Verdana"/>
          <w:sz w:val="18"/>
          <w:szCs w:val="18"/>
        </w:rPr>
        <w:t xml:space="preserve"> assumere le cariche o le funzioni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all'art.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o nelle società</w:t>
      </w:r>
      <w:r w:rsidRPr="00A25A45">
        <w:rPr>
          <w:rFonts w:ascii="Verdana" w:hAnsi="Verdana"/>
          <w:sz w:val="18"/>
          <w:szCs w:val="18"/>
        </w:rPr>
        <w:t>, enti 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istituti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articoli 1, 2 e 3 della presente legge, se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decorso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anno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cessazione delle funzioni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governative.</w:t>
      </w:r>
    </w:p>
    <w:p w14:paraId="17B025D6" w14:textId="77777777"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5BA82EB9" w14:textId="77777777"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25A45">
        <w:rPr>
          <w:rFonts w:ascii="Verdana" w:hAnsi="Verdana" w:cs="Arial"/>
          <w:b/>
          <w:color w:val="1F497D" w:themeColor="text2"/>
          <w:sz w:val="18"/>
          <w:szCs w:val="18"/>
        </w:rPr>
        <w:t>Art. 7.</w:t>
      </w:r>
    </w:p>
    <w:p w14:paraId="5E1560F2" w14:textId="77777777" w:rsid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membri del Parlamento per i quali esista o si determini qualcuna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incompatibilità </w:t>
      </w:r>
      <w:r w:rsidRPr="00A25A45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negli articoli precedenti debbono,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nel termine di trenta giorni dalla pubblicazione della presente legge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Ufficiale, optare fra le cariche che ricoprono ed il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mandato parlamentare.</w:t>
      </w:r>
    </w:p>
    <w:p w14:paraId="753519C6" w14:textId="77777777"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112AB66C" w14:textId="77777777"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25A45">
        <w:rPr>
          <w:rFonts w:ascii="Verdana" w:hAnsi="Verdana" w:cs="Arial"/>
          <w:b/>
          <w:color w:val="1F497D" w:themeColor="text2"/>
          <w:sz w:val="18"/>
          <w:szCs w:val="18"/>
        </w:rPr>
        <w:t>Art. 8.</w:t>
      </w:r>
    </w:p>
    <w:p w14:paraId="2EA4F985" w14:textId="77777777" w:rsid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accertamenti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e le is</w:t>
      </w:r>
      <w:r>
        <w:rPr>
          <w:rFonts w:ascii="Verdana" w:hAnsi="Verdana"/>
          <w:sz w:val="18"/>
          <w:szCs w:val="18"/>
        </w:rPr>
        <w:t>truttorie sulle incompatibilità</w:t>
      </w:r>
      <w:r w:rsidRPr="00A25A45">
        <w:rPr>
          <w:rFonts w:ascii="Verdana" w:hAnsi="Verdana"/>
          <w:sz w:val="18"/>
          <w:szCs w:val="18"/>
        </w:rPr>
        <w:t xml:space="preserve"> previste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competenza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della Giunta delle elezioni della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del Senato, che è</w:t>
      </w:r>
      <w:r w:rsidRPr="00A25A45">
        <w:rPr>
          <w:rFonts w:ascii="Verdana" w:hAnsi="Verdana"/>
          <w:sz w:val="18"/>
          <w:szCs w:val="18"/>
        </w:rPr>
        <w:t xml:space="preserve"> investita del caso dalla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Presidenza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rispettiva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Assemblea,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secondo che trattisi di un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deputato o di un senatore che non abbia ottemperato a quanto disposto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nell'articolo precedente.</w:t>
      </w:r>
    </w:p>
    <w:p w14:paraId="0A052435" w14:textId="77777777"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024AC446" w14:textId="77777777"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25A45">
        <w:rPr>
          <w:rFonts w:ascii="Verdana" w:hAnsi="Verdana" w:cs="Arial"/>
          <w:b/>
          <w:color w:val="1F497D" w:themeColor="text2"/>
          <w:sz w:val="18"/>
          <w:szCs w:val="18"/>
        </w:rPr>
        <w:t>Art. 9.</w:t>
      </w:r>
    </w:p>
    <w:p w14:paraId="09585BB1" w14:textId="77777777" w:rsidR="00A25A45" w:rsidRP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incompatibilità </w:t>
      </w:r>
      <w:r w:rsidRPr="00A25A45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Costituzione, restano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ferme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altre</w:t>
      </w:r>
      <w:r>
        <w:rPr>
          <w:rFonts w:ascii="Verdana" w:hAnsi="Verdana"/>
          <w:sz w:val="18"/>
          <w:szCs w:val="18"/>
        </w:rPr>
        <w:t xml:space="preserve"> incompatibilità </w:t>
      </w:r>
      <w:r w:rsidRPr="00A25A4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varie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cause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ineleggibilità </w:t>
      </w:r>
      <w:r w:rsidRPr="00A25A45">
        <w:rPr>
          <w:rFonts w:ascii="Verdana" w:hAnsi="Verdana"/>
          <w:sz w:val="18"/>
          <w:szCs w:val="18"/>
        </w:rPr>
        <w:t>contenute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vigenti,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salve, per queste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ultime, le modifiche apportate dalla presente legge.</w:t>
      </w:r>
    </w:p>
    <w:p w14:paraId="1DC259DD" w14:textId="77777777" w:rsidR="001107F6" w:rsidRPr="007615AE" w:rsidRDefault="001107F6" w:rsidP="001107F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2"/>
          <w:szCs w:val="2"/>
        </w:rPr>
      </w:pPr>
    </w:p>
    <w:p w14:paraId="43FE4579" w14:textId="77777777" w:rsidR="001107F6" w:rsidRDefault="001107F6" w:rsidP="001107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30ED7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sar</w:t>
      </w:r>
      <w:r>
        <w:rPr>
          <w:rFonts w:ascii="Verdana" w:hAnsi="Verdana"/>
          <w:sz w:val="18"/>
          <w:szCs w:val="18"/>
        </w:rPr>
        <w:t xml:space="preserve">à </w:t>
      </w:r>
      <w:r w:rsidRPr="00530ED7">
        <w:rPr>
          <w:rFonts w:ascii="Verdana" w:hAnsi="Verdana"/>
          <w:sz w:val="18"/>
          <w:szCs w:val="18"/>
        </w:rPr>
        <w:t>inserita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delle leggi e dei decreti </w:t>
      </w:r>
      <w:r w:rsidRPr="00530ED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italiana.</w:t>
      </w:r>
      <w:r>
        <w:rPr>
          <w:rFonts w:ascii="Verdana" w:hAnsi="Verdana"/>
          <w:sz w:val="18"/>
          <w:szCs w:val="18"/>
        </w:rPr>
        <w:t xml:space="preserve"> È </w:t>
      </w:r>
      <w:r w:rsidRPr="00530ED7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osservare come legge dello Stato.</w:t>
      </w:r>
    </w:p>
    <w:p w14:paraId="247918F0" w14:textId="77777777" w:rsidR="001107F6" w:rsidRPr="00E134F8" w:rsidRDefault="001107F6" w:rsidP="001107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Pr="00E134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15 febbraio 1953</w:t>
      </w:r>
    </w:p>
    <w:p w14:paraId="54BE7BB0" w14:textId="77777777" w:rsidR="001107F6" w:rsidRPr="00E134F8" w:rsidRDefault="001107F6" w:rsidP="001107F6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EINAUDI</w:t>
      </w:r>
    </w:p>
    <w:p w14:paraId="2A9BFA3D" w14:textId="77777777" w:rsidR="001107F6" w:rsidRPr="00E134F8" w:rsidRDefault="001107F6" w:rsidP="001107F6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GASPERI</w:t>
      </w:r>
    </w:p>
    <w:p w14:paraId="3CDBADD5" w14:textId="77777777" w:rsidR="001107F6" w:rsidRPr="00E134F8" w:rsidRDefault="001107F6" w:rsidP="001107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 xml:space="preserve">Visto, il Guardasigilli: </w:t>
      </w:r>
      <w:r>
        <w:rPr>
          <w:rFonts w:ascii="Verdana" w:hAnsi="Verdana"/>
          <w:sz w:val="18"/>
          <w:szCs w:val="18"/>
        </w:rPr>
        <w:t>ZOLI</w:t>
      </w:r>
    </w:p>
    <w:sectPr w:rsidR="001107F6" w:rsidRPr="00E134F8" w:rsidSect="00A25A45">
      <w:headerReference w:type="default" r:id="rId7"/>
      <w:foot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57AC" w14:textId="77777777" w:rsidR="00DC740F" w:rsidRDefault="00DC740F" w:rsidP="00A25A45">
      <w:pPr>
        <w:spacing w:after="0" w:line="240" w:lineRule="auto"/>
      </w:pPr>
      <w:r>
        <w:separator/>
      </w:r>
    </w:p>
  </w:endnote>
  <w:endnote w:type="continuationSeparator" w:id="0">
    <w:p w14:paraId="7941F835" w14:textId="77777777" w:rsidR="00DC740F" w:rsidRDefault="00DC740F" w:rsidP="00A2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FD99" w14:textId="77838BCA" w:rsidR="005F4B40" w:rsidRPr="005F4B40" w:rsidRDefault="005F4B40" w:rsidP="005F4B40">
    <w:pPr>
      <w:pStyle w:val="Pidipagina"/>
      <w:tabs>
        <w:tab w:val="right" w:pos="8505"/>
      </w:tabs>
      <w:rPr>
        <w:rFonts w:ascii="Verdana" w:hAnsi="Verdana"/>
        <w:i/>
        <w:sz w:val="17"/>
        <w:szCs w:val="17"/>
      </w:rPr>
    </w:pPr>
    <w:r>
      <w:rPr>
        <w:rFonts w:ascii="Verdana" w:hAnsi="Verdana"/>
        <w:i/>
        <w:sz w:val="17"/>
        <w:szCs w:val="17"/>
      </w:rPr>
      <w:t>Ultimo aggiornamento: 2</w:t>
    </w:r>
    <w:r w:rsidR="00467B27">
      <w:rPr>
        <w:rFonts w:ascii="Verdana" w:hAnsi="Verdana"/>
        <w:i/>
        <w:sz w:val="17"/>
        <w:szCs w:val="17"/>
      </w:rPr>
      <w:t>9</w:t>
    </w:r>
    <w:r>
      <w:rPr>
        <w:rFonts w:ascii="Verdana" w:hAnsi="Verdana"/>
        <w:i/>
        <w:sz w:val="17"/>
        <w:szCs w:val="17"/>
      </w:rPr>
      <w:t>/0</w:t>
    </w:r>
    <w:r w:rsidR="00467B27">
      <w:rPr>
        <w:rFonts w:ascii="Verdana" w:hAnsi="Verdana"/>
        <w:i/>
        <w:sz w:val="17"/>
        <w:szCs w:val="17"/>
      </w:rPr>
      <w:t>7</w:t>
    </w:r>
    <w:r>
      <w:rPr>
        <w:rFonts w:ascii="Verdana" w:hAnsi="Verdana"/>
        <w:i/>
        <w:sz w:val="17"/>
        <w:szCs w:val="17"/>
      </w:rPr>
      <w:t>/20</w:t>
    </w:r>
    <w:r w:rsidR="00467B27">
      <w:rPr>
        <w:rFonts w:ascii="Verdana" w:hAnsi="Verdana"/>
        <w:i/>
        <w:sz w:val="17"/>
        <w:szCs w:val="17"/>
      </w:rPr>
      <w:t>22</w:t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fldChar w:fldCharType="begin"/>
    </w:r>
    <w:r>
      <w:rPr>
        <w:rFonts w:ascii="Verdana" w:hAnsi="Verdana"/>
        <w:i/>
        <w:sz w:val="17"/>
        <w:szCs w:val="17"/>
      </w:rPr>
      <w:instrText>PAGE   \* MERGEFORMAT</w:instrText>
    </w:r>
    <w:r>
      <w:rPr>
        <w:rFonts w:ascii="Verdana" w:hAnsi="Verdana"/>
        <w:i/>
        <w:sz w:val="17"/>
        <w:szCs w:val="17"/>
      </w:rPr>
      <w:fldChar w:fldCharType="separate"/>
    </w:r>
    <w:r>
      <w:rPr>
        <w:rFonts w:ascii="Verdana" w:hAnsi="Verdana"/>
        <w:i/>
        <w:noProof/>
        <w:sz w:val="17"/>
        <w:szCs w:val="17"/>
      </w:rPr>
      <w:t>1</w:t>
    </w:r>
    <w:r>
      <w:rPr>
        <w:rFonts w:ascii="Verdana" w:hAnsi="Verdana"/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9CA5" w14:textId="77777777" w:rsidR="00DC740F" w:rsidRDefault="00DC740F" w:rsidP="00A25A45">
      <w:pPr>
        <w:spacing w:after="0" w:line="240" w:lineRule="auto"/>
      </w:pPr>
      <w:r>
        <w:separator/>
      </w:r>
    </w:p>
  </w:footnote>
  <w:footnote w:type="continuationSeparator" w:id="0">
    <w:p w14:paraId="51096F23" w14:textId="77777777" w:rsidR="00DC740F" w:rsidRDefault="00DC740F" w:rsidP="00A25A45">
      <w:pPr>
        <w:spacing w:after="0" w:line="240" w:lineRule="auto"/>
      </w:pPr>
      <w:r>
        <w:continuationSeparator/>
      </w:r>
    </w:p>
  </w:footnote>
  <w:footnote w:id="1">
    <w:p w14:paraId="4F0D4DD5" w14:textId="77777777" w:rsidR="00DC740F" w:rsidRPr="00A25A45" w:rsidRDefault="00DC740F" w:rsidP="005F4B40">
      <w:pPr>
        <w:tabs>
          <w:tab w:val="left" w:pos="426"/>
        </w:tabs>
        <w:spacing w:after="0"/>
        <w:jc w:val="both"/>
        <w:rPr>
          <w:rFonts w:ascii="Verdana" w:hAnsi="Verdana"/>
          <w:sz w:val="16"/>
          <w:szCs w:val="16"/>
        </w:rPr>
      </w:pPr>
      <w:r w:rsidRPr="00A25A45">
        <w:rPr>
          <w:rStyle w:val="Rimandonotaapidipagina"/>
          <w:rFonts w:ascii="Verdana" w:hAnsi="Verdana"/>
          <w:sz w:val="16"/>
          <w:szCs w:val="16"/>
        </w:rPr>
        <w:footnoteRef/>
      </w:r>
      <w:r w:rsidRPr="00A25A45">
        <w:rPr>
          <w:rFonts w:ascii="Verdana" w:hAnsi="Verdana"/>
          <w:sz w:val="16"/>
          <w:szCs w:val="16"/>
        </w:rPr>
        <w:t xml:space="preserve"> La Corte Costituzionale, con sentenza 17 - 21 ottobre 2011, n. 277 (in G.U. 1a s.s. 26/10/2011, n. 45) ha dichiarato l'illegittimità costituzionale degli articoli 1, 2, 3 e 4 della presente legge nella parte in cui non prevedono l'incompatibilità tra la carica di parlamentare e quella di sindaco di Comune con popolazione superiore ai 20.000 abitanti.</w:t>
      </w:r>
    </w:p>
  </w:footnote>
  <w:footnote w:id="2">
    <w:p w14:paraId="4C6FCFC0" w14:textId="77777777" w:rsidR="00DC740F" w:rsidRPr="00A25A45" w:rsidRDefault="00DC740F" w:rsidP="005F4B40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A25A45">
        <w:rPr>
          <w:rStyle w:val="Rimandonotaapidipagina"/>
          <w:rFonts w:ascii="Verdana" w:hAnsi="Verdana"/>
          <w:sz w:val="16"/>
          <w:szCs w:val="16"/>
        </w:rPr>
        <w:footnoteRef/>
      </w:r>
      <w:r w:rsidRPr="00A25A45">
        <w:rPr>
          <w:rFonts w:ascii="Verdana" w:hAnsi="Verdana"/>
          <w:sz w:val="16"/>
          <w:szCs w:val="16"/>
        </w:rPr>
        <w:t xml:space="preserve"> Ibidem.</w:t>
      </w:r>
    </w:p>
  </w:footnote>
  <w:footnote w:id="3">
    <w:p w14:paraId="7881DDC0" w14:textId="77777777" w:rsidR="00DC740F" w:rsidRPr="00A25A45" w:rsidRDefault="00DC740F" w:rsidP="005F4B40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A25A45">
        <w:rPr>
          <w:rStyle w:val="Rimandonotaapidipagina"/>
          <w:rFonts w:ascii="Verdana" w:hAnsi="Verdana"/>
          <w:sz w:val="16"/>
          <w:szCs w:val="16"/>
        </w:rPr>
        <w:footnoteRef/>
      </w:r>
      <w:r w:rsidRPr="00A25A45">
        <w:rPr>
          <w:rFonts w:ascii="Verdana" w:hAnsi="Verdana"/>
          <w:sz w:val="16"/>
          <w:szCs w:val="16"/>
        </w:rPr>
        <w:t xml:space="preserve"> Ibidem.</w:t>
      </w:r>
    </w:p>
  </w:footnote>
  <w:footnote w:id="4">
    <w:p w14:paraId="29250942" w14:textId="77777777" w:rsidR="00DC740F" w:rsidRDefault="00DC740F" w:rsidP="005F4B40">
      <w:pPr>
        <w:pStyle w:val="Testonotaapidipagina"/>
        <w:jc w:val="both"/>
      </w:pPr>
      <w:r w:rsidRPr="00A25A45">
        <w:rPr>
          <w:rStyle w:val="Rimandonotaapidipagina"/>
          <w:rFonts w:ascii="Verdana" w:hAnsi="Verdana"/>
          <w:sz w:val="16"/>
          <w:szCs w:val="16"/>
        </w:rPr>
        <w:footnoteRef/>
      </w:r>
      <w:r w:rsidRPr="00A25A45">
        <w:rPr>
          <w:rFonts w:ascii="Verdana" w:hAnsi="Verdana"/>
          <w:sz w:val="16"/>
          <w:szCs w:val="16"/>
        </w:rPr>
        <w:t xml:space="preserve"> Ibidem.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8"/>
      <w:gridCol w:w="5016"/>
    </w:tblGrid>
    <w:tr w:rsidR="003D27F2" w14:paraId="131ADA41" w14:textId="77777777" w:rsidTr="003D27F2">
      <w:tc>
        <w:tcPr>
          <w:tcW w:w="3505" w:type="dxa"/>
          <w:vAlign w:val="center"/>
          <w:hideMark/>
        </w:tcPr>
        <w:p w14:paraId="00074C60" w14:textId="41936237" w:rsidR="003D27F2" w:rsidRDefault="00467B27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noProof/>
            </w:rPr>
            <w:drawing>
              <wp:inline distT="0" distB="0" distL="0" distR="0" wp14:anchorId="4E2BBCC2" wp14:editId="7EF54413">
                <wp:extent cx="1654810" cy="629920"/>
                <wp:effectExtent l="0" t="0" r="0" b="0"/>
                <wp:docPr id="1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81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14:paraId="33099EB8" w14:textId="77777777" w:rsidR="003D27F2" w:rsidRDefault="003D27F2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7D4F8611" wp14:editId="6ED72758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33B5D3" w14:textId="77777777" w:rsidR="003D27F2" w:rsidRDefault="003D27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45"/>
    <w:rsid w:val="00032275"/>
    <w:rsid w:val="001107F6"/>
    <w:rsid w:val="001B70C6"/>
    <w:rsid w:val="003412D7"/>
    <w:rsid w:val="003D27F2"/>
    <w:rsid w:val="0042342D"/>
    <w:rsid w:val="00467B27"/>
    <w:rsid w:val="004D6905"/>
    <w:rsid w:val="00586D3A"/>
    <w:rsid w:val="005F4B40"/>
    <w:rsid w:val="007615AE"/>
    <w:rsid w:val="009B3E6D"/>
    <w:rsid w:val="00A25A45"/>
    <w:rsid w:val="00DC740F"/>
    <w:rsid w:val="00F1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C0D8"/>
  <w15:docId w15:val="{1FF8D673-5C50-4552-9DD1-BD5372FB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5A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5A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5A4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25A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7F2"/>
  </w:style>
  <w:style w:type="paragraph" w:styleId="Pidipagina">
    <w:name w:val="footer"/>
    <w:basedOn w:val="Normale"/>
    <w:link w:val="PidipaginaCarattere"/>
    <w:uiPriority w:val="99"/>
    <w:unhideWhenUsed/>
    <w:qFormat/>
    <w:rsid w:val="003D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7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0050-888C-4EB3-967A-2646118B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2022-07-29T13:51:00Z</dcterms:created>
  <dcterms:modified xsi:type="dcterms:W3CDTF">2022-07-29T13:52:00Z</dcterms:modified>
</cp:coreProperties>
</file>