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47B2" w14:textId="77777777" w:rsidR="0002589A" w:rsidRPr="0002589A" w:rsidRDefault="001536EE" w:rsidP="0002589A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1536EE">
        <w:rPr>
          <w:rFonts w:ascii="Verdana" w:hAnsi="Verdana" w:cs="Arial"/>
          <w:b/>
          <w:color w:val="4E3F85"/>
          <w:sz w:val="20"/>
          <w:szCs w:val="20"/>
        </w:rPr>
        <w:t>LEGGE 21 marzo 1990, n. 53</w:t>
      </w:r>
      <w:r w:rsidR="0002589A" w:rsidRPr="0002589A">
        <w:rPr>
          <w:rFonts w:ascii="Verdana" w:hAnsi="Verdana" w:cs="Arial"/>
          <w:b/>
          <w:color w:val="4E3F85"/>
          <w:sz w:val="20"/>
          <w:szCs w:val="20"/>
        </w:rPr>
        <w:t xml:space="preserve"> </w:t>
      </w:r>
    </w:p>
    <w:p w14:paraId="6E6B4EA7" w14:textId="77777777" w:rsidR="0002589A" w:rsidRPr="0002589A" w:rsidRDefault="001536EE" w:rsidP="0002589A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1536EE">
        <w:rPr>
          <w:rFonts w:ascii="Verdana" w:hAnsi="Verdana" w:cs="Arial"/>
          <w:sz w:val="20"/>
          <w:szCs w:val="20"/>
        </w:rPr>
        <w:t>Misure urgenti atte a garantire maggiore efficienza al procedimento elettorale.</w:t>
      </w:r>
    </w:p>
    <w:p w14:paraId="25B55874" w14:textId="77777777" w:rsidR="0002589A" w:rsidRPr="00904695" w:rsidRDefault="0002589A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390F1051" w14:textId="77777777"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approvato;</w:t>
      </w:r>
    </w:p>
    <w:p w14:paraId="11F1B36B" w14:textId="77777777"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IL PRESIDENTE DELLA REPUBBLICA</w:t>
      </w:r>
    </w:p>
    <w:p w14:paraId="007CC7FF" w14:textId="77777777"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PROMULGA</w:t>
      </w:r>
    </w:p>
    <w:p w14:paraId="4E1136FC" w14:textId="77777777"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seguente legge:</w:t>
      </w:r>
    </w:p>
    <w:p w14:paraId="057747FB" w14:textId="77777777" w:rsidR="0002589A" w:rsidRPr="00904695" w:rsidRDefault="0002589A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4C110C60" w14:textId="77777777"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>Art. 1</w:t>
      </w:r>
      <w:r w:rsidR="001536EE">
        <w:rPr>
          <w:rFonts w:ascii="Verdana" w:hAnsi="Verdana" w:cs="Arial"/>
          <w:b/>
          <w:color w:val="1F497D" w:themeColor="text2"/>
          <w:sz w:val="18"/>
          <w:szCs w:val="18"/>
        </w:rPr>
        <w:t>.</w:t>
      </w:r>
    </w:p>
    <w:p w14:paraId="45148E73" w14:textId="77777777"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 xml:space="preserve">Presso la cancelleria di ciascuna corte di appello </w:t>
      </w:r>
      <w:r>
        <w:rPr>
          <w:rFonts w:ascii="Verdana" w:hAnsi="Verdana"/>
          <w:sz w:val="18"/>
          <w:szCs w:val="18"/>
        </w:rPr>
        <w:t>è</w:t>
      </w:r>
      <w:r w:rsidRPr="001536EE">
        <w:rPr>
          <w:rFonts w:ascii="Verdana" w:hAnsi="Verdana"/>
          <w:sz w:val="18"/>
          <w:szCs w:val="18"/>
        </w:rPr>
        <w:t xml:space="preserve"> istituito,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entro trenta giorni dalla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legge, l'albo 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persone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idonee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seggio elettorale. </w:t>
      </w:r>
    </w:p>
    <w:p w14:paraId="40A9A7DF" w14:textId="77777777"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La prima iscrizione nel predetto albo</w:t>
      </w:r>
      <w:r>
        <w:rPr>
          <w:rFonts w:ascii="Verdana" w:hAnsi="Verdana"/>
          <w:sz w:val="18"/>
          <w:szCs w:val="18"/>
        </w:rPr>
        <w:t xml:space="preserve"> è </w:t>
      </w:r>
      <w:r w:rsidRPr="001536EE">
        <w:rPr>
          <w:rFonts w:ascii="Verdana" w:hAnsi="Verdana"/>
          <w:sz w:val="18"/>
          <w:szCs w:val="18"/>
        </w:rPr>
        <w:t>disposta,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d'ufficio,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 presidente della corte d'appello, che vi inserisce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degli elettori appartenenti alle particolari categorie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elencate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primo comma dell'articolo 35 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norme per 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decreto del Presidente della Repubblica 30 marzo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1957,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361,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seguito denominato testo unico n. 361 del 1957, e nel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dell'articolo 20 del testo unico delle leggi per la composizione e 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elezione degli organi delle amministrazioni comunali,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decreto del Presidente della Repubblica 16 maggio 1960,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570,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seguito denominato test</w:t>
      </w:r>
      <w:r>
        <w:rPr>
          <w:rFonts w:ascii="Verdana" w:hAnsi="Verdana"/>
          <w:sz w:val="18"/>
          <w:szCs w:val="18"/>
        </w:rPr>
        <w:t>o unico n. 570 del 1960, nonché</w:t>
      </w:r>
      <w:r w:rsidRPr="001536EE">
        <w:rPr>
          <w:rFonts w:ascii="Verdana" w:hAnsi="Verdana"/>
          <w:sz w:val="18"/>
          <w:szCs w:val="18"/>
        </w:rPr>
        <w:t>, 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comune, i nomi degli iscritti negli elenchi di cui al terzo comma 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citato articolo 35 ed al quarto comma del citato articolo 20. </w:t>
      </w:r>
    </w:p>
    <w:p w14:paraId="4799E489" w14:textId="77777777"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Le iscrizioni nell'albo sono subordinate al possesso 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 studio non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diploma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istruzione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secondaria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secondo grado. </w:t>
      </w:r>
    </w:p>
    <w:p w14:paraId="75E14364" w14:textId="77777777"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Il presidente della corte d'appello nel mese di gennaio 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anno dispone la cancellazione dall'albo; </w:t>
      </w:r>
    </w:p>
    <w:p w14:paraId="5DE35B8C" w14:textId="77777777"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a)</w:t>
      </w:r>
      <w:r w:rsidRPr="001536EE">
        <w:rPr>
          <w:rFonts w:ascii="Verdana" w:hAnsi="Verdana"/>
          <w:sz w:val="18"/>
          <w:szCs w:val="18"/>
        </w:rPr>
        <w:t xml:space="preserve"> di coloro che non hanno i requisiti stabiliti dalla legge; </w:t>
      </w:r>
    </w:p>
    <w:p w14:paraId="763BEC63" w14:textId="77777777"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b)</w:t>
      </w:r>
      <w:r w:rsidRPr="001536EE">
        <w:rPr>
          <w:rFonts w:ascii="Verdana" w:hAnsi="Verdana"/>
          <w:sz w:val="18"/>
          <w:szCs w:val="18"/>
        </w:rPr>
        <w:t xml:space="preserve"> di coloro che, chiamati a svolgere le funzioni di presidente 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seggio elettorale, non le abbiano svolte senza giustificato motivo; </w:t>
      </w:r>
    </w:p>
    <w:p w14:paraId="73E88CB2" w14:textId="77777777"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c)</w:t>
      </w:r>
      <w:r w:rsidRPr="001536EE">
        <w:rPr>
          <w:rFonts w:ascii="Verdana" w:hAnsi="Verdana"/>
          <w:sz w:val="18"/>
          <w:szCs w:val="18"/>
        </w:rPr>
        <w:t xml:space="preserve"> di coloro che hanno presieduto seggi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state annullate con decisione del giudice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amministrativo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definitiva; </w:t>
      </w:r>
    </w:p>
    <w:p w14:paraId="3B6A76E2" w14:textId="77777777"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d)</w:t>
      </w:r>
      <w:r w:rsidRPr="001536EE">
        <w:rPr>
          <w:rFonts w:ascii="Verdana" w:hAnsi="Verdana"/>
          <w:sz w:val="18"/>
          <w:szCs w:val="18"/>
        </w:rPr>
        <w:t xml:space="preserve"> di coloro che sono stati condannati,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definitiva, per i reati previsti e disciplinati nel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VII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testo unico n. 361 del 1957 e nel capo IX del testo unico n. 570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1960; </w:t>
      </w:r>
    </w:p>
    <w:p w14:paraId="7E5F9D6E" w14:textId="77777777"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e)</w:t>
      </w:r>
      <w:r w:rsidRPr="001536EE">
        <w:rPr>
          <w:rFonts w:ascii="Verdana" w:hAnsi="Verdana"/>
          <w:sz w:val="18"/>
          <w:szCs w:val="18"/>
        </w:rPr>
        <w:t xml:space="preserve"> di coloro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segnalazione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effettuata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presidenti degli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sovraordinati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sezione,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denominati,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resi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responsabili di gravi inadempienze. </w:t>
      </w:r>
    </w:p>
    <w:p w14:paraId="3527834B" w14:textId="77777777"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Le operazioni di cancellazione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dall'albo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comunicate,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estratto,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d'appello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relativamente ai nominativi cancellati che siano stati da loro stessi</w:t>
      </w:r>
      <w:r>
        <w:rPr>
          <w:rFonts w:ascii="Verdana" w:hAnsi="Verdana"/>
          <w:sz w:val="18"/>
          <w:szCs w:val="18"/>
        </w:rPr>
        <w:t xml:space="preserve"> in precedenza segnalati, perché</w:t>
      </w:r>
      <w:r w:rsidRPr="001536EE">
        <w:rPr>
          <w:rFonts w:ascii="Verdana" w:hAnsi="Verdana"/>
          <w:sz w:val="18"/>
          <w:szCs w:val="18"/>
        </w:rPr>
        <w:t>, sentita 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comunale, propongano, per la iscrizione nell'albo, entro il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mese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febbraio di ogni anno ed 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doppio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depennati, i nomi di cittadini elettori del comune quivi abitualmente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dimoranti, con esclusione di quelli compresi in una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categorie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indicate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nell'articolo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38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361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1957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nell'articolo 23 del testo unico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570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1960,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possesso del titolo di studio previsto dal comma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dovranno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precisati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lastRenderedPageBreak/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manifestato con dichiarazione scritta gradimento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l'incarico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presidente di seggio elettorale. </w:t>
      </w:r>
    </w:p>
    <w:p w14:paraId="47E49150" w14:textId="77777777"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Analoghe comunicazioni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d'appello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ordini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professionali relativamente ai nominativi cancellati che siano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precedenza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segnalati,</w:t>
      </w:r>
      <w:r>
        <w:rPr>
          <w:rFonts w:ascii="Verdana" w:hAnsi="Verdana"/>
          <w:sz w:val="18"/>
          <w:szCs w:val="18"/>
        </w:rPr>
        <w:t xml:space="preserve"> perché </w:t>
      </w:r>
      <w:r w:rsidRPr="001536EE">
        <w:rPr>
          <w:rFonts w:ascii="Verdana" w:hAnsi="Verdana"/>
          <w:sz w:val="18"/>
          <w:szCs w:val="18"/>
        </w:rPr>
        <w:t>propongano,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l'iscrizione nell'albo, entro il mese di febbraio di ogni anno ed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numero doppio rispetto 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depennati,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professionisti 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manifestato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scritta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gradimento per l'incarico di presidente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esclusione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compresi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categorie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indicate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nell'articolo 38 del testo unico n. 361 del 1957 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nell'articolo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del testo unico n. 570 del 1960. </w:t>
      </w:r>
    </w:p>
    <w:p w14:paraId="26A78554" w14:textId="77777777"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Ai fini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dell'aggiornamento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periodico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dell'albo,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iscritti nelle liste elettorali del comune, in possesso dei requisiti</w:t>
      </w:r>
      <w:r>
        <w:rPr>
          <w:rFonts w:ascii="Verdana" w:hAnsi="Verdana"/>
          <w:sz w:val="18"/>
          <w:szCs w:val="18"/>
        </w:rPr>
        <w:t xml:space="preserve"> di idoneità</w:t>
      </w:r>
      <w:r w:rsidRPr="001536EE">
        <w:rPr>
          <w:rFonts w:ascii="Verdana" w:hAnsi="Verdana"/>
          <w:sz w:val="18"/>
          <w:szCs w:val="18"/>
        </w:rPr>
        <w:t>, possono chiedere, entro il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mese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ottobre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anno, di essere inseriti nell'albo delle persone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idonee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 presidente di seggio elettorale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presentando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scritta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sindaco, nella quale devono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indicare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nascita,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studio, residenza, professione, arte o mestiere. </w:t>
      </w:r>
    </w:p>
    <w:p w14:paraId="03B2A423" w14:textId="77777777"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sentita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accertato 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richiedenti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possesso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requisiti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idoneità</w:t>
      </w:r>
      <w:r w:rsidRPr="001536EE">
        <w:rPr>
          <w:rFonts w:ascii="Verdana" w:hAnsi="Verdana"/>
          <w:sz w:val="18"/>
          <w:szCs w:val="18"/>
        </w:rPr>
        <w:t xml:space="preserve"> e che non rientrano nelle categorie indicate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38 del testo unico n. 361 del 1957 e dall'articolo 23 del testo unico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 570 del 1960, comunica i nominativi alla cancelleria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d'appello. </w:t>
      </w:r>
    </w:p>
    <w:p w14:paraId="774F842A" w14:textId="77777777" w:rsidR="001536EE" w:rsidRP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Ai fini dell'aggiornamento periodico previsto dai commi 5,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7, l'iscrizione nell'albo </w:t>
      </w:r>
      <w:r>
        <w:rPr>
          <w:rFonts w:ascii="Verdana" w:hAnsi="Verdana"/>
          <w:sz w:val="18"/>
          <w:szCs w:val="18"/>
        </w:rPr>
        <w:t>è</w:t>
      </w:r>
      <w:r w:rsidRPr="001536EE">
        <w:rPr>
          <w:rFonts w:ascii="Verdana" w:hAnsi="Verdana"/>
          <w:sz w:val="18"/>
          <w:szCs w:val="18"/>
        </w:rPr>
        <w:t xml:space="preserve"> disposta secondo i criteri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commi 2 e 3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d'appello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accordando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precedenza a coloro 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manifestato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gradimento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formulato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domanda per l'incarico di presidente di seggio elettorale. </w:t>
      </w:r>
    </w:p>
    <w:p w14:paraId="408E3AF7" w14:textId="77777777"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B78EB60" w14:textId="77777777"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2. </w:t>
      </w:r>
    </w:p>
    <w:p w14:paraId="58EA8CF4" w14:textId="77777777" w:rsid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Il presidente di seggio,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dell'insediamento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elettorale, sceglie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segretario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elettorali del comune in possesso di titolo di studio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al diploma di istituto di istruzione secondaria di secondo grado. </w:t>
      </w:r>
    </w:p>
    <w:p w14:paraId="392E46A1" w14:textId="77777777"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3F586E19" w14:textId="77777777"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t>Art. 3.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-8.</w:t>
      </w: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</w:p>
    <w:p w14:paraId="3E84863B" w14:textId="77777777" w:rsidR="001536EE" w:rsidRP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14:paraId="7D1E5468" w14:textId="77777777"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0F9904DB" w14:textId="77777777"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9. </w:t>
      </w:r>
    </w:p>
    <w:p w14:paraId="7C5C0EC3" w14:textId="77777777"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Fino al mese di marzo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1991,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onorari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uffici elettorali di sezione di cui alla legge 13 marzo 1980, 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70,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ad esclusione di quelli di cui alla legge 25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maggio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1970,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352,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come modificata dalla legge 22 maggio 1978, n. 199, 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determinati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come segue: </w:t>
      </w:r>
    </w:p>
    <w:p w14:paraId="72AF3A6F" w14:textId="77777777"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a)</w:t>
      </w:r>
      <w:r w:rsidRPr="001536EE">
        <w:rPr>
          <w:rFonts w:ascii="Verdana" w:hAnsi="Verdana"/>
          <w:sz w:val="18"/>
          <w:szCs w:val="18"/>
        </w:rPr>
        <w:t xml:space="preserve"> gli importi di cui al primo e al secondo comma dell'articolo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 legge 13 marzo 1980, n. 70, 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aggiornati,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in lire 146.000 e in lire 116.000; </w:t>
      </w:r>
    </w:p>
    <w:p w14:paraId="4761AE3C" w14:textId="77777777"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b)</w:t>
      </w:r>
      <w:r w:rsidRPr="001536EE">
        <w:rPr>
          <w:rFonts w:ascii="Verdana" w:hAnsi="Verdana"/>
          <w:sz w:val="18"/>
          <w:szCs w:val="18"/>
        </w:rPr>
        <w:t xml:space="preserve"> gli importi di cui al terzo comma 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sopracitato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sono aggiornati, rispettivamente, in lire 45.000 e in lire 30.000; </w:t>
      </w:r>
    </w:p>
    <w:p w14:paraId="0965FBA8" w14:textId="77777777"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c)</w:t>
      </w:r>
      <w:r w:rsidRPr="001536EE">
        <w:rPr>
          <w:rFonts w:ascii="Verdana" w:hAnsi="Verdana"/>
          <w:sz w:val="18"/>
          <w:szCs w:val="18"/>
        </w:rPr>
        <w:t xml:space="preserve"> gli importi di cui al quarto comma del predetto articolo 1 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aggiornati, rispettivamente, in lire 87.000 e in lire 59.000. </w:t>
      </w:r>
    </w:p>
    <w:p w14:paraId="287416ED" w14:textId="77777777" w:rsid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Gli onorari dei componenti gli uffici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legge 13 marzo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1980,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70,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costituiscono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fisso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forfettario non assoggettabile a ritenute o imposte e non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concorrono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alla formazione della base imponibile ai fini fiscali. </w:t>
      </w:r>
    </w:p>
    <w:p w14:paraId="08A05319" w14:textId="77777777" w:rsid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09A0A720" w14:textId="77777777" w:rsidR="00013B05" w:rsidRDefault="00013B05">
      <w:pPr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br w:type="page"/>
      </w:r>
    </w:p>
    <w:p w14:paraId="73381D36" w14:textId="77777777"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>Art. 10.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-13.</w:t>
      </w: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</w:p>
    <w:p w14:paraId="4AC58F5C" w14:textId="77777777" w:rsidR="001536EE" w:rsidRPr="001536EE" w:rsidRDefault="001536EE" w:rsidP="001536EE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14:paraId="1819A83F" w14:textId="77777777"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B583AFA" w14:textId="77777777"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14. </w:t>
      </w:r>
    </w:p>
    <w:p w14:paraId="31831FD6" w14:textId="03AA6674" w:rsidR="00B9562E" w:rsidRPr="00B9562E" w:rsidRDefault="001536EE" w:rsidP="00B9562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9562E" w:rsidRPr="00B9562E">
        <w:rPr>
          <w:rFonts w:ascii="Verdana" w:hAnsi="Verdana"/>
          <w:sz w:val="18"/>
          <w:szCs w:val="18"/>
        </w:rPr>
        <w:t>Sono competenti ad eseguire le autenticazioni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che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non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siano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attribuite esclusivamente ai notai e che siano previste dalla legge 6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febbraio 1948, n. 29, dalla legge 8 marzo 1951,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n.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122,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dal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testo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unico delle leggi recanti norme per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la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elezione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della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Camera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dei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deputati, di cui al decreto del Presidente della Repubblica 30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marzo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1957, n. 361, dal testo unico delle leggi per la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composizione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la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elezione degli organi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delle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Amministrazioni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comunali,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di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cui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al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decreto del Presidente della Repubblica 16 maggio 1960, n. 570, dalla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legge 17 febbraio 1968, n. 108, dal decreto-legge 3 maggio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1976,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n.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161, convertito, con modificazioni, dalla legge 14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maggio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1976,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n.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240, dalla legge 24 gennaio 1979, n. 18,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dalla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legge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25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maggio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1970, n. 352, nonch</w:t>
      </w:r>
      <w:r w:rsidR="00B9562E">
        <w:rPr>
          <w:rFonts w:ascii="Verdana" w:hAnsi="Verdana"/>
          <w:sz w:val="18"/>
          <w:szCs w:val="18"/>
        </w:rPr>
        <w:t>é</w:t>
      </w:r>
      <w:r w:rsidR="00B9562E" w:rsidRPr="00B9562E">
        <w:rPr>
          <w:rFonts w:ascii="Verdana" w:hAnsi="Verdana"/>
          <w:sz w:val="18"/>
          <w:szCs w:val="18"/>
        </w:rPr>
        <w:t xml:space="preserve"> per le elezioni previste dalla legge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7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aprile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2014, n.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56,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notai,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giudici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di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pace,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cancellieri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collaboratori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delle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cancellerie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delle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corti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d'appello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dei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tribunali, i segretari delle procure della Repubblica, 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membri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del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Parlamento, i consiglieri regionali, i presidenti delle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province,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sindaci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metropolitani,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sindaci,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gli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assessori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comunali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provinciali,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componenti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della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conferenza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metropolitana,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presidenti dei consigli comunali e provinciali, i presidenti e i vice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presidenti dei consigli circoscrizionali, i consiglieri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provinciali,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i consiglieri metropolitani e 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consiglieri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comunali,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segretari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comunali e provinciali e i funzionari incaricati dal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sindaco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dal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presidente della provincia. Sono altres</w:t>
      </w:r>
      <w:r w:rsidR="00B9562E">
        <w:rPr>
          <w:rFonts w:ascii="Verdana" w:hAnsi="Verdana"/>
          <w:sz w:val="18"/>
          <w:szCs w:val="18"/>
        </w:rPr>
        <w:t>ì</w:t>
      </w:r>
      <w:r w:rsidR="00B9562E" w:rsidRPr="00B9562E">
        <w:rPr>
          <w:rFonts w:ascii="Verdana" w:hAnsi="Verdana"/>
          <w:sz w:val="18"/>
          <w:szCs w:val="18"/>
        </w:rPr>
        <w:t xml:space="preserve"> competenti ad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eseguire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le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autenticazioni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di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cui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al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presente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comma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gli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avvocati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iscritti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all'albo che hanno comunicato la propria disponibilit</w:t>
      </w:r>
      <w:r w:rsidR="00B9562E">
        <w:rPr>
          <w:rFonts w:ascii="Verdana" w:hAnsi="Verdana"/>
          <w:sz w:val="18"/>
          <w:szCs w:val="18"/>
        </w:rPr>
        <w:t>à</w:t>
      </w:r>
      <w:r w:rsidR="00B9562E" w:rsidRPr="00B9562E">
        <w:rPr>
          <w:rFonts w:ascii="Verdana" w:hAnsi="Verdana"/>
          <w:sz w:val="18"/>
          <w:szCs w:val="18"/>
        </w:rPr>
        <w:t xml:space="preserve"> all'ordine di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appartenenza, i cui nominativi sono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tempestivamente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pubblicati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>nel</w:t>
      </w:r>
      <w:r w:rsidR="00B9562E">
        <w:rPr>
          <w:rFonts w:ascii="Verdana" w:hAnsi="Verdana"/>
          <w:sz w:val="18"/>
          <w:szCs w:val="18"/>
        </w:rPr>
        <w:t xml:space="preserve"> </w:t>
      </w:r>
      <w:r w:rsidR="00B9562E" w:rsidRPr="00B9562E">
        <w:rPr>
          <w:rFonts w:ascii="Verdana" w:hAnsi="Verdana"/>
          <w:sz w:val="18"/>
          <w:szCs w:val="18"/>
        </w:rPr>
        <w:t xml:space="preserve">sito internet istituzionale dell'ordine. </w:t>
      </w:r>
    </w:p>
    <w:p w14:paraId="60D5B392" w14:textId="1B3F4377" w:rsidR="001536EE" w:rsidRPr="001536EE" w:rsidRDefault="00B9562E" w:rsidP="00B9562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9562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9562E">
        <w:rPr>
          <w:rFonts w:ascii="Verdana" w:hAnsi="Verdana"/>
          <w:sz w:val="18"/>
          <w:szCs w:val="18"/>
        </w:rPr>
        <w:t>L'autenticazione deve essere compiuta con le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modalit</w:t>
      </w:r>
      <w:r>
        <w:rPr>
          <w:rFonts w:ascii="Verdana" w:hAnsi="Verdana"/>
          <w:sz w:val="18"/>
          <w:szCs w:val="18"/>
        </w:rPr>
        <w:t xml:space="preserve">à </w:t>
      </w:r>
      <w:r w:rsidRPr="00B9562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21,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regolamentari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documentazione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amministrativa, di cui al decreto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B9562E">
        <w:rPr>
          <w:rFonts w:ascii="Verdana" w:hAnsi="Verdana"/>
          <w:sz w:val="18"/>
          <w:szCs w:val="18"/>
        </w:rPr>
        <w:t>dicembre 2000, n. 445</w:t>
      </w:r>
      <w:r>
        <w:rPr>
          <w:rFonts w:ascii="Verdana" w:hAnsi="Verdana"/>
          <w:sz w:val="18"/>
          <w:szCs w:val="18"/>
        </w:rPr>
        <w:t>.</w:t>
      </w:r>
      <w:r w:rsidR="001536EE" w:rsidRPr="001536EE">
        <w:rPr>
          <w:rFonts w:ascii="Verdana" w:hAnsi="Verdana"/>
          <w:sz w:val="18"/>
          <w:szCs w:val="18"/>
        </w:rPr>
        <w:t xml:space="preserve"> </w:t>
      </w:r>
    </w:p>
    <w:p w14:paraId="0156D8F6" w14:textId="77777777" w:rsid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Le sottoscrizioni e le relative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autenticazioni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nulle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anteriori al centottantesimo giorno precedente il termine fissato 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la presentazione delle candidature. </w:t>
      </w:r>
    </w:p>
    <w:p w14:paraId="7BCDFE93" w14:textId="77777777"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8AC49DC" w14:textId="77777777" w:rsidR="001536EE" w:rsidRPr="001536EE" w:rsidRDefault="004176C6" w:rsidP="001536E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15.-18.</w:t>
      </w:r>
    </w:p>
    <w:p w14:paraId="749A570F" w14:textId="77777777" w:rsidR="004176C6" w:rsidRPr="004176C6" w:rsidRDefault="004176C6" w:rsidP="001536EE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14:paraId="600AC7FE" w14:textId="77777777" w:rsidR="004176C6" w:rsidRPr="004176C6" w:rsidRDefault="004176C6" w:rsidP="004176C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18A74AB2" w14:textId="77777777" w:rsidR="001536EE" w:rsidRPr="004176C6" w:rsidRDefault="001536EE" w:rsidP="004176C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176C6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19. </w:t>
      </w:r>
    </w:p>
    <w:p w14:paraId="64E945F6" w14:textId="77777777" w:rsidR="001536EE" w:rsidRPr="001536EE" w:rsidRDefault="001536EE" w:rsidP="004176C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 w:rsidR="004176C6"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parlamentare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l'indirizzo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la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vigilanza dei servizi radiotelevisivi, di cui alla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aprile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1975, n. 103, detta disposizioni per disciplinare la trasmissione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appositi programmi televisivi e radiofonici volti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illustrare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fasi del procedimento elettorale, con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particolare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alle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operazioni di voto e di scrutinio. </w:t>
      </w:r>
    </w:p>
    <w:p w14:paraId="642DCA27" w14:textId="77777777" w:rsid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2.</w:t>
      </w:r>
      <w:r w:rsidR="004176C6"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Detti programmi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realizzati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trasmessi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="004176C6">
        <w:rPr>
          <w:rFonts w:ascii="Verdana" w:hAnsi="Verdana"/>
          <w:sz w:val="18"/>
          <w:szCs w:val="18"/>
        </w:rPr>
        <w:t xml:space="preserve">società </w:t>
      </w:r>
      <w:r w:rsidRPr="001536EE">
        <w:rPr>
          <w:rFonts w:ascii="Verdana" w:hAnsi="Verdana"/>
          <w:sz w:val="18"/>
          <w:szCs w:val="18"/>
        </w:rPr>
        <w:t>concessionaria del servizio pubblico della radio e 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televisione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medesime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stabilite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rubrica: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"Tribuna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elettorale". </w:t>
      </w:r>
    </w:p>
    <w:p w14:paraId="4BB12790" w14:textId="77777777" w:rsidR="004176C6" w:rsidRPr="004176C6" w:rsidRDefault="004176C6" w:rsidP="004176C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6647A0A4" w14:textId="77777777" w:rsidR="001536EE" w:rsidRPr="004176C6" w:rsidRDefault="001536EE" w:rsidP="004176C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176C6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20. </w:t>
      </w:r>
    </w:p>
    <w:p w14:paraId="64EAB1E8" w14:textId="77777777" w:rsid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 w:rsidR="004176C6"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All'onere derivante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</w:t>
      </w:r>
      <w:r w:rsidR="004176C6">
        <w:rPr>
          <w:rFonts w:ascii="Verdana" w:hAnsi="Verdana"/>
          <w:sz w:val="18"/>
          <w:szCs w:val="18"/>
        </w:rPr>
        <w:t xml:space="preserve"> provvede con le disponibilità</w:t>
      </w:r>
      <w:r w:rsidRPr="001536EE">
        <w:rPr>
          <w:rFonts w:ascii="Verdana" w:hAnsi="Verdana"/>
          <w:sz w:val="18"/>
          <w:szCs w:val="18"/>
        </w:rPr>
        <w:t xml:space="preserve"> del fondo iscritto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capitolo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6853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dello stato di previsione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tesoro,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destinate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fronteggiare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derivanti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politiche,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amministrative,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referendum. </w:t>
      </w:r>
    </w:p>
    <w:p w14:paraId="1AB7F490" w14:textId="77777777" w:rsidR="00657728" w:rsidRPr="004176C6" w:rsidRDefault="00657728" w:rsidP="004176C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1E2E05A4" w14:textId="77777777" w:rsidR="00013B05" w:rsidRDefault="00013B05">
      <w:pPr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br w:type="page"/>
      </w:r>
    </w:p>
    <w:p w14:paraId="669B296F" w14:textId="77777777" w:rsidR="001536EE" w:rsidRPr="004176C6" w:rsidRDefault="001536EE" w:rsidP="004176C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176C6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 xml:space="preserve">Art. 21. </w:t>
      </w:r>
    </w:p>
    <w:p w14:paraId="699184C1" w14:textId="77777777" w:rsidR="001536EE" w:rsidRP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 w:rsidR="004176C6"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La presente legge entra in vigore il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quello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 sua pubblicazione nella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Repubblica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italiana. </w:t>
      </w:r>
    </w:p>
    <w:p w14:paraId="0E9EBC81" w14:textId="77777777" w:rsidR="0002589A" w:rsidRPr="0002589A" w:rsidRDefault="0002589A" w:rsidP="009046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inserita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="004176C6">
        <w:rPr>
          <w:rFonts w:ascii="Verdana" w:hAnsi="Verdana" w:cs="Arial"/>
          <w:sz w:val="18"/>
          <w:szCs w:val="18"/>
        </w:rPr>
        <w:t xml:space="preserve">degli atti normativi </w:t>
      </w:r>
      <w:r w:rsidR="00904695" w:rsidRPr="00B63BDB">
        <w:rPr>
          <w:rFonts w:ascii="Verdana" w:hAnsi="Verdana" w:cs="Arial"/>
          <w:sz w:val="18"/>
          <w:szCs w:val="18"/>
        </w:rPr>
        <w:t>della</w:t>
      </w:r>
      <w:r w:rsidR="00904695">
        <w:rPr>
          <w:rFonts w:ascii="Verdana" w:hAnsi="Verdana" w:cs="Arial"/>
          <w:sz w:val="18"/>
          <w:szCs w:val="18"/>
        </w:rPr>
        <w:t xml:space="preserve"> </w:t>
      </w:r>
      <w:r w:rsidR="00904695" w:rsidRPr="00B63BDB">
        <w:rPr>
          <w:rFonts w:ascii="Verdana" w:hAnsi="Verdana" w:cs="Arial"/>
          <w:sz w:val="18"/>
          <w:szCs w:val="18"/>
        </w:rPr>
        <w:t>Repubblica</w:t>
      </w:r>
      <w:r w:rsidR="00904695">
        <w:rPr>
          <w:rFonts w:ascii="Verdana" w:hAnsi="Verdana" w:cs="Arial"/>
          <w:sz w:val="18"/>
          <w:szCs w:val="18"/>
        </w:rPr>
        <w:t xml:space="preserve"> </w:t>
      </w:r>
      <w:r w:rsidR="00904695" w:rsidRPr="00B63BDB">
        <w:rPr>
          <w:rFonts w:ascii="Verdana" w:hAnsi="Verdana" w:cs="Arial"/>
          <w:sz w:val="18"/>
          <w:szCs w:val="18"/>
        </w:rPr>
        <w:t>italiana</w:t>
      </w:r>
      <w:r w:rsidRPr="0002589A">
        <w:rPr>
          <w:rFonts w:ascii="Verdana" w:hAnsi="Verdana"/>
          <w:sz w:val="18"/>
          <w:szCs w:val="18"/>
        </w:rPr>
        <w:t xml:space="preserve">. </w:t>
      </w:r>
      <w:r w:rsidR="007A137F">
        <w:rPr>
          <w:rFonts w:ascii="Verdana" w:hAnsi="Verdana"/>
          <w:sz w:val="18"/>
          <w:szCs w:val="18"/>
        </w:rPr>
        <w:t xml:space="preserve">È </w:t>
      </w:r>
      <w:r w:rsidRPr="0002589A">
        <w:rPr>
          <w:rFonts w:ascii="Verdana" w:hAnsi="Verdana"/>
          <w:sz w:val="18"/>
          <w:szCs w:val="18"/>
        </w:rPr>
        <w:t>fatto obbligo a chiunque spetti di osservarla e di farla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osservare come legge dello Stato. </w:t>
      </w:r>
    </w:p>
    <w:p w14:paraId="7AB252EA" w14:textId="77777777" w:rsidR="0002589A" w:rsidRPr="0002589A" w:rsidRDefault="007A137F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2589A" w:rsidRPr="0002589A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  <w:r w:rsidR="004176C6">
        <w:rPr>
          <w:rFonts w:ascii="Verdana" w:hAnsi="Verdana"/>
          <w:sz w:val="18"/>
          <w:szCs w:val="18"/>
        </w:rPr>
        <w:t>21 marzo 1990</w:t>
      </w:r>
    </w:p>
    <w:p w14:paraId="2623C1BD" w14:textId="77777777" w:rsidR="0002589A" w:rsidRPr="0002589A" w:rsidRDefault="004176C6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COSSIGA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14:paraId="44CC2456" w14:textId="77777777" w:rsidR="004176C6" w:rsidRDefault="004176C6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ANDREOTTI, Presidente del Consiglio dei Ministri</w:t>
      </w:r>
    </w:p>
    <w:p w14:paraId="669AC551" w14:textId="77777777" w:rsidR="0002589A" w:rsidRPr="0002589A" w:rsidRDefault="004176C6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GAVA, Ministro dell’interno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14:paraId="5A90989B" w14:textId="77777777" w:rsidR="00584955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 xml:space="preserve">Visto, il Guardasigilli: </w:t>
      </w:r>
      <w:r w:rsidR="004176C6">
        <w:rPr>
          <w:rFonts w:ascii="Verdana" w:hAnsi="Verdana"/>
          <w:sz w:val="18"/>
          <w:szCs w:val="18"/>
        </w:rPr>
        <w:t>VASSALLI</w:t>
      </w:r>
    </w:p>
    <w:sectPr w:rsidR="00584955" w:rsidRPr="0002589A" w:rsidSect="00657728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14F0" w14:textId="77777777" w:rsidR="001536EE" w:rsidRDefault="001536EE" w:rsidP="00474A0C">
      <w:pPr>
        <w:spacing w:after="0" w:line="240" w:lineRule="auto"/>
      </w:pPr>
      <w:r>
        <w:separator/>
      </w:r>
    </w:p>
  </w:endnote>
  <w:endnote w:type="continuationSeparator" w:id="0">
    <w:p w14:paraId="66C6E3BD" w14:textId="77777777" w:rsidR="001536EE" w:rsidRDefault="001536EE" w:rsidP="004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F9D0" w14:textId="49E31C42" w:rsidR="00013B05" w:rsidRPr="00013B05" w:rsidRDefault="00013B05" w:rsidP="00013B05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</w:t>
    </w:r>
    <w:r w:rsidR="00B9562E">
      <w:rPr>
        <w:rFonts w:ascii="Verdana" w:hAnsi="Verdana"/>
        <w:i/>
        <w:sz w:val="17"/>
        <w:szCs w:val="17"/>
      </w:rPr>
      <w:t>9</w:t>
    </w:r>
    <w:r>
      <w:rPr>
        <w:rFonts w:ascii="Verdana" w:hAnsi="Verdana"/>
        <w:i/>
        <w:sz w:val="17"/>
        <w:szCs w:val="17"/>
      </w:rPr>
      <w:t>/0</w:t>
    </w:r>
    <w:r w:rsidR="00B9562E">
      <w:rPr>
        <w:rFonts w:ascii="Verdana" w:hAnsi="Verdana"/>
        <w:i/>
        <w:sz w:val="17"/>
        <w:szCs w:val="17"/>
      </w:rPr>
      <w:t>7</w:t>
    </w:r>
    <w:r>
      <w:rPr>
        <w:rFonts w:ascii="Verdana" w:hAnsi="Verdana"/>
        <w:i/>
        <w:sz w:val="17"/>
        <w:szCs w:val="17"/>
      </w:rPr>
      <w:t>/20</w:t>
    </w:r>
    <w:r w:rsidR="00B9562E">
      <w:rPr>
        <w:rFonts w:ascii="Verdana" w:hAnsi="Verdana"/>
        <w:i/>
        <w:sz w:val="17"/>
        <w:szCs w:val="17"/>
      </w:rPr>
      <w:t>22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4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4686" w14:textId="77777777" w:rsidR="001536EE" w:rsidRDefault="001536EE" w:rsidP="00474A0C">
      <w:pPr>
        <w:spacing w:after="0" w:line="240" w:lineRule="auto"/>
      </w:pPr>
      <w:r>
        <w:separator/>
      </w:r>
    </w:p>
  </w:footnote>
  <w:footnote w:type="continuationSeparator" w:id="0">
    <w:p w14:paraId="43545EFC" w14:textId="77777777" w:rsidR="001536EE" w:rsidRDefault="001536EE" w:rsidP="0047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657728" w14:paraId="76717AC7" w14:textId="77777777" w:rsidTr="00657728">
      <w:tc>
        <w:tcPr>
          <w:tcW w:w="3505" w:type="dxa"/>
          <w:vAlign w:val="center"/>
          <w:hideMark/>
        </w:tcPr>
        <w:p w14:paraId="7EAC0582" w14:textId="0FAB539F" w:rsidR="00657728" w:rsidRDefault="00B9562E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noProof/>
            </w:rPr>
            <w:drawing>
              <wp:inline distT="0" distB="0" distL="0" distR="0" wp14:anchorId="3AB3C085" wp14:editId="1CED8C47">
                <wp:extent cx="1654810" cy="62992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81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14:paraId="285C428A" w14:textId="77777777" w:rsidR="00657728" w:rsidRDefault="00657728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1A89A8A" wp14:editId="0C3D5FD3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800B8A" w14:textId="77777777" w:rsidR="00657728" w:rsidRDefault="006577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9A"/>
    <w:rsid w:val="00013B05"/>
    <w:rsid w:val="0002589A"/>
    <w:rsid w:val="001536EE"/>
    <w:rsid w:val="00283335"/>
    <w:rsid w:val="00325124"/>
    <w:rsid w:val="00344795"/>
    <w:rsid w:val="004176C6"/>
    <w:rsid w:val="00474A0C"/>
    <w:rsid w:val="00584955"/>
    <w:rsid w:val="00657728"/>
    <w:rsid w:val="007A137F"/>
    <w:rsid w:val="00904695"/>
    <w:rsid w:val="00915603"/>
    <w:rsid w:val="00947923"/>
    <w:rsid w:val="00B549B9"/>
    <w:rsid w:val="00B63BDB"/>
    <w:rsid w:val="00B9562E"/>
    <w:rsid w:val="00BF4E47"/>
    <w:rsid w:val="00F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CA89"/>
  <w15:docId w15:val="{6D0C4F5F-D461-4384-8521-6D0D0EAB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57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728"/>
  </w:style>
  <w:style w:type="paragraph" w:styleId="Pidipagina">
    <w:name w:val="footer"/>
    <w:basedOn w:val="Normale"/>
    <w:link w:val="PidipaginaCarattere"/>
    <w:uiPriority w:val="99"/>
    <w:unhideWhenUsed/>
    <w:qFormat/>
    <w:rsid w:val="00657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7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76E1-1334-4061-9885-468F104D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2022-07-29T14:03:00Z</dcterms:created>
  <dcterms:modified xsi:type="dcterms:W3CDTF">2022-07-29T14:03:00Z</dcterms:modified>
</cp:coreProperties>
</file>