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80335E" w:rsidP="007666B4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80335E">
        <w:rPr>
          <w:rFonts w:ascii="Verdana" w:hAnsi="Verdana"/>
          <w:b/>
          <w:color w:val="4E3F85"/>
          <w:sz w:val="20"/>
          <w:szCs w:val="20"/>
        </w:rPr>
        <w:t>LEGGE 22 maggio 1978, n. 199</w:t>
      </w:r>
    </w:p>
    <w:p w:rsidR="000503B7" w:rsidRPr="000503B7" w:rsidRDefault="0080335E" w:rsidP="0080335E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335E">
        <w:rPr>
          <w:rFonts w:ascii="Verdana" w:hAnsi="Verdana"/>
          <w:sz w:val="20"/>
          <w:szCs w:val="20"/>
        </w:rPr>
        <w:t>Modifiche</w:t>
      </w:r>
      <w:r w:rsidR="00736E84">
        <w:rPr>
          <w:rFonts w:ascii="Verdana" w:hAnsi="Verdana"/>
          <w:sz w:val="20"/>
          <w:szCs w:val="20"/>
        </w:rPr>
        <w:t xml:space="preserve"> </w:t>
      </w:r>
      <w:r w:rsidRPr="0080335E">
        <w:rPr>
          <w:rFonts w:ascii="Verdana" w:hAnsi="Verdana"/>
          <w:sz w:val="20"/>
          <w:szCs w:val="20"/>
        </w:rPr>
        <w:t>alla legge 25 maggio 1970, n. 352, sui referendum previsti</w:t>
      </w:r>
      <w:r>
        <w:rPr>
          <w:rFonts w:ascii="Verdana" w:hAnsi="Verdana"/>
          <w:sz w:val="20"/>
          <w:szCs w:val="20"/>
        </w:rPr>
        <w:t xml:space="preserve"> </w:t>
      </w:r>
      <w:r w:rsidRPr="0080335E">
        <w:rPr>
          <w:rFonts w:ascii="Verdana" w:hAnsi="Verdana"/>
          <w:sz w:val="20"/>
          <w:szCs w:val="20"/>
        </w:rPr>
        <w:t>dalla Costituzione e sulla iniziativa legislativa del popolo.</w:t>
      </w:r>
    </w:p>
    <w:p w:rsidR="000503B7" w:rsidRPr="000503B7" w:rsidRDefault="000503B7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B23BD" w:rsidRPr="00AB23BD" w:rsidRDefault="00AB23BD" w:rsidP="0042043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approvato;</w:t>
      </w:r>
    </w:p>
    <w:p w:rsidR="00AB23BD" w:rsidRPr="00AB23BD" w:rsidRDefault="00AB23BD" w:rsidP="0042043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IL PRESIDENTE DELLA REPUBBLICA</w:t>
      </w:r>
    </w:p>
    <w:p w:rsidR="00AB23BD" w:rsidRPr="00AB23BD" w:rsidRDefault="00AB23BD" w:rsidP="0042043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PROMULGA</w:t>
      </w:r>
    </w:p>
    <w:p w:rsidR="000503B7" w:rsidRDefault="00AB23BD" w:rsidP="007666B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la seguente legge:</w:t>
      </w:r>
    </w:p>
    <w:p w:rsidR="00AB23BD" w:rsidRPr="000503B7" w:rsidRDefault="00AB23BD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503B7" w:rsidRPr="000503B7" w:rsidRDefault="00AB23BD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0503B7" w:rsidRDefault="00AB23BD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In caso di contemporaneo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svolgimento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</w:t>
      </w:r>
      <w:r w:rsidR="00736E84">
        <w:rPr>
          <w:rFonts w:ascii="Verdana" w:hAnsi="Verdana"/>
          <w:sz w:val="18"/>
          <w:szCs w:val="18"/>
        </w:rPr>
        <w:t xml:space="preserve"> più </w:t>
      </w:r>
      <w:r w:rsidR="0080335E" w:rsidRPr="0080335E">
        <w:rPr>
          <w:rFonts w:ascii="Verdana" w:hAnsi="Verdana"/>
          <w:sz w:val="18"/>
          <w:szCs w:val="18"/>
        </w:rPr>
        <w:t>referendum,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operazioni compiute dagli uffici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provinciali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per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il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referendum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dagli uffici di sezione viene compilato, in duplice copia,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un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unico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verbale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nel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quale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relativi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dati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debbono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essere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riportati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distintamente per ciascun referendum.</w:t>
      </w:r>
    </w:p>
    <w:p w:rsidR="00AB23BD" w:rsidRPr="000503B7" w:rsidRDefault="00AB23BD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503B7" w:rsidRPr="000503B7" w:rsidRDefault="000503B7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>Art. 2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AB23BD" w:rsidRPr="0080335E" w:rsidRDefault="00AB23BD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Per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gli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uffici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sezione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per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il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referendum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nelle cui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circoscrizioni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esistono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ospedali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case di cura con meno di cento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letti o presso i quali si procede alla raccolta del voto domiciliare,</w:t>
      </w:r>
      <w:r w:rsidR="00736E84"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 xml:space="preserve">il numero degli scrutatori </w:t>
      </w:r>
      <w:r w:rsidR="00736E84">
        <w:rPr>
          <w:rFonts w:ascii="Verdana" w:hAnsi="Verdana"/>
          <w:sz w:val="18"/>
          <w:szCs w:val="18"/>
        </w:rPr>
        <w:t>è</w:t>
      </w:r>
      <w:r w:rsidR="0080335E" w:rsidRPr="0080335E">
        <w:rPr>
          <w:rFonts w:ascii="Verdana" w:hAnsi="Verdana"/>
          <w:sz w:val="18"/>
          <w:szCs w:val="18"/>
        </w:rPr>
        <w:t xml:space="preserve"> aumentato a quattro</w:t>
      </w:r>
      <w:r w:rsidR="0080335E">
        <w:rPr>
          <w:rFonts w:ascii="Verdana" w:hAnsi="Verdana"/>
          <w:i/>
          <w:sz w:val="18"/>
          <w:szCs w:val="18"/>
        </w:rPr>
        <w:t>.</w:t>
      </w:r>
    </w:p>
    <w:p w:rsidR="00AB23BD" w:rsidRPr="00AB23BD" w:rsidRDefault="00AB23BD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B23BD" w:rsidRPr="00736E84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36E84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80335E" w:rsidRDefault="0080335E" w:rsidP="00736E84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80335E" w:rsidRPr="0080335E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0335E" w:rsidRPr="00736E84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36E84"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:rsidR="0080335E" w:rsidRPr="0080335E" w:rsidRDefault="00736E84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Le tabelle A, B, C e D, allegate alla legge 25 maggio 1970, n. 352,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tabelle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A,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B,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D, E ed F allegate alla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presente legge.</w:t>
      </w:r>
    </w:p>
    <w:p w:rsidR="0080335E" w:rsidRPr="0080335E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0335E" w:rsidRPr="00736E84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36E84"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:rsidR="0080335E" w:rsidRPr="00736E84" w:rsidRDefault="00736E84" w:rsidP="00736E84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736E84">
        <w:rPr>
          <w:rFonts w:ascii="Verdana" w:hAnsi="Verdana"/>
          <w:i/>
          <w:sz w:val="18"/>
          <w:szCs w:val="18"/>
        </w:rPr>
        <w:t>Abrogato dalla l. 13 marzo 1980, n. 70</w:t>
      </w:r>
    </w:p>
    <w:p w:rsidR="0080335E" w:rsidRPr="0080335E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0335E" w:rsidRPr="00736E84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36E84">
        <w:rPr>
          <w:rFonts w:ascii="Verdana" w:hAnsi="Verdana"/>
          <w:b/>
          <w:color w:val="1F497D" w:themeColor="text2"/>
          <w:sz w:val="18"/>
          <w:szCs w:val="18"/>
        </w:rPr>
        <w:t>Art. 6.</w:t>
      </w:r>
    </w:p>
    <w:p w:rsidR="0080335E" w:rsidRPr="0080335E" w:rsidRDefault="00736E84" w:rsidP="00736E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Corte suprema di cassazione, in vista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corredo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richieste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referendum,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con proprio decreto ed in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relazione alle necessit</w:t>
      </w:r>
      <w:r>
        <w:rPr>
          <w:rFonts w:ascii="Verdana" w:hAnsi="Verdana"/>
          <w:sz w:val="18"/>
          <w:szCs w:val="18"/>
        </w:rPr>
        <w:t>à, può</w:t>
      </w:r>
      <w:r w:rsidR="0080335E" w:rsidRPr="0080335E">
        <w:rPr>
          <w:rFonts w:ascii="Verdana" w:hAnsi="Verdana"/>
          <w:sz w:val="18"/>
          <w:szCs w:val="18"/>
        </w:rPr>
        <w:t xml:space="preserve"> aggregare all'Ufficio centrale per il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referendum altri magistrati della Corte.</w:t>
      </w:r>
    </w:p>
    <w:p w:rsidR="0080335E" w:rsidRPr="0080335E" w:rsidRDefault="00736E84" w:rsidP="00736E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funzioni di segreteria dell'Ufficio centrale sono espletate dai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funzionari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cancelleria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designati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presidente.</w:t>
      </w:r>
    </w:p>
    <w:p w:rsidR="0080335E" w:rsidRPr="0080335E" w:rsidRDefault="00736E84" w:rsidP="00736E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dispone,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altres</w:t>
      </w:r>
      <w:r>
        <w:rPr>
          <w:rFonts w:ascii="Verdana" w:hAnsi="Verdana"/>
          <w:sz w:val="18"/>
          <w:szCs w:val="18"/>
        </w:rPr>
        <w:t>ì</w:t>
      </w:r>
      <w:r w:rsidR="0080335E" w:rsidRPr="0080335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sulle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modalit</w:t>
      </w:r>
      <w:r>
        <w:rPr>
          <w:rFonts w:ascii="Verdana" w:hAnsi="Verdana"/>
          <w:sz w:val="18"/>
          <w:szCs w:val="18"/>
        </w:rPr>
        <w:t xml:space="preserve">à </w:t>
      </w:r>
      <w:r w:rsidR="0080335E" w:rsidRPr="0080335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utilizzazione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centro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elettronico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 dell'altro personale della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Corte ritenuto necessario.</w:t>
      </w:r>
    </w:p>
    <w:p w:rsidR="0080335E" w:rsidRPr="0080335E" w:rsidRDefault="00736E84" w:rsidP="00736E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dell'Ufficio centrale per il referendum come sopra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impegnato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dell'articolo 18 della legge 23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1976,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136, nei limiti di un contingente di personale non</w:t>
      </w:r>
      <w:r>
        <w:rPr>
          <w:rFonts w:ascii="Verdana" w:hAnsi="Verdana"/>
          <w:sz w:val="18"/>
          <w:szCs w:val="18"/>
        </w:rPr>
        <w:t xml:space="preserve"> s</w:t>
      </w:r>
      <w:bookmarkStart w:id="0" w:name="_GoBack"/>
      <w:bookmarkEnd w:id="0"/>
      <w:r>
        <w:rPr>
          <w:rFonts w:ascii="Verdana" w:hAnsi="Verdana"/>
          <w:sz w:val="18"/>
          <w:szCs w:val="18"/>
        </w:rPr>
        <w:t>uperiore a novanta unità.</w:t>
      </w:r>
    </w:p>
    <w:p w:rsidR="0080335E" w:rsidRPr="0080335E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80335E" w:rsidRPr="00736E84" w:rsidRDefault="0080335E" w:rsidP="00736E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36E84">
        <w:rPr>
          <w:rFonts w:ascii="Verdana" w:hAnsi="Verdana"/>
          <w:b/>
          <w:color w:val="1F497D" w:themeColor="text2"/>
          <w:sz w:val="18"/>
          <w:szCs w:val="18"/>
        </w:rPr>
        <w:t>Art. 7.</w:t>
      </w:r>
    </w:p>
    <w:p w:rsidR="0080335E" w:rsidRPr="0080335E" w:rsidRDefault="00736E84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in vigore il giorno successivo a quello</w:t>
      </w:r>
      <w:r>
        <w:rPr>
          <w:rFonts w:ascii="Verdana" w:hAnsi="Verdana"/>
          <w:sz w:val="18"/>
          <w:szCs w:val="18"/>
        </w:rPr>
        <w:t xml:space="preserve"> </w:t>
      </w:r>
      <w:r w:rsidR="0080335E" w:rsidRPr="0080335E">
        <w:rPr>
          <w:rFonts w:ascii="Verdana" w:hAnsi="Verdana"/>
          <w:sz w:val="18"/>
          <w:szCs w:val="18"/>
        </w:rPr>
        <w:t>della sua pubblicazione nella Gazzetta Ufficiale della Repubblica.</w:t>
      </w:r>
    </w:p>
    <w:p w:rsidR="0080335E" w:rsidRPr="0080335E" w:rsidRDefault="0080335E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0335E">
        <w:rPr>
          <w:rFonts w:ascii="Verdana" w:hAnsi="Verdana"/>
          <w:sz w:val="18"/>
          <w:szCs w:val="18"/>
        </w:rPr>
        <w:t>La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presente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legge,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muni</w:t>
      </w:r>
      <w:r w:rsidR="00736E84">
        <w:rPr>
          <w:rFonts w:ascii="Verdana" w:hAnsi="Verdana"/>
          <w:sz w:val="18"/>
          <w:szCs w:val="18"/>
        </w:rPr>
        <w:t>ta del sigillo dello Stato, sarà</w:t>
      </w:r>
      <w:r w:rsidRPr="0080335E">
        <w:rPr>
          <w:rFonts w:ascii="Verdana" w:hAnsi="Verdana"/>
          <w:sz w:val="18"/>
          <w:szCs w:val="18"/>
        </w:rPr>
        <w:t xml:space="preserve"> inser</w:t>
      </w:r>
      <w:r w:rsidR="00736E84">
        <w:rPr>
          <w:rFonts w:ascii="Verdana" w:hAnsi="Verdana"/>
          <w:sz w:val="18"/>
          <w:szCs w:val="18"/>
        </w:rPr>
        <w:t>i</w:t>
      </w:r>
      <w:r w:rsidRPr="0080335E">
        <w:rPr>
          <w:rFonts w:ascii="Verdana" w:hAnsi="Verdana"/>
          <w:sz w:val="18"/>
          <w:szCs w:val="18"/>
        </w:rPr>
        <w:t>ta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nella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Raccolta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ufficiale delle leggi e dei decreti della Repubblica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 xml:space="preserve">italiana. </w:t>
      </w:r>
      <w:r w:rsidR="00736E84">
        <w:rPr>
          <w:rFonts w:ascii="Verdana" w:hAnsi="Verdana"/>
          <w:sz w:val="18"/>
          <w:szCs w:val="18"/>
        </w:rPr>
        <w:t xml:space="preserve">È </w:t>
      </w:r>
      <w:r w:rsidRPr="0080335E">
        <w:rPr>
          <w:rFonts w:ascii="Verdana" w:hAnsi="Verdana"/>
          <w:sz w:val="18"/>
          <w:szCs w:val="18"/>
        </w:rPr>
        <w:t>fatto obbligo a chiunque spetti di osservarla e di farla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osservare come legge dello Stato.</w:t>
      </w:r>
    </w:p>
    <w:p w:rsidR="0080335E" w:rsidRPr="0080335E" w:rsidRDefault="00264673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80335E" w:rsidRPr="0080335E">
        <w:rPr>
          <w:rFonts w:ascii="Verdana" w:hAnsi="Verdana"/>
          <w:sz w:val="18"/>
          <w:szCs w:val="18"/>
        </w:rPr>
        <w:t>Data a Roma, add</w:t>
      </w:r>
      <w:r w:rsidR="00736E84">
        <w:rPr>
          <w:rFonts w:ascii="Verdana" w:hAnsi="Verdana"/>
          <w:sz w:val="18"/>
          <w:szCs w:val="18"/>
        </w:rPr>
        <w:t>ì</w:t>
      </w:r>
      <w:r w:rsidR="0080335E" w:rsidRPr="0080335E">
        <w:rPr>
          <w:rFonts w:ascii="Verdana" w:hAnsi="Verdana"/>
          <w:sz w:val="18"/>
          <w:szCs w:val="18"/>
        </w:rPr>
        <w:t xml:space="preserve"> 22 maggio 1978</w:t>
      </w:r>
    </w:p>
    <w:p w:rsidR="0080335E" w:rsidRPr="0080335E" w:rsidRDefault="0080335E" w:rsidP="008540E3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0335E">
        <w:rPr>
          <w:rFonts w:ascii="Verdana" w:hAnsi="Verdana"/>
          <w:sz w:val="18"/>
          <w:szCs w:val="18"/>
        </w:rPr>
        <w:t>LEONE</w:t>
      </w:r>
    </w:p>
    <w:p w:rsidR="0080335E" w:rsidRPr="0080335E" w:rsidRDefault="0080335E" w:rsidP="00736E84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80335E">
        <w:rPr>
          <w:rFonts w:ascii="Verdana" w:hAnsi="Verdana"/>
          <w:sz w:val="18"/>
          <w:szCs w:val="18"/>
        </w:rPr>
        <w:t>ANDREOTTI - BONIFACIO</w:t>
      </w:r>
    </w:p>
    <w:p w:rsidR="0080335E" w:rsidRPr="00AB23BD" w:rsidRDefault="0080335E" w:rsidP="00736E8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0335E">
        <w:rPr>
          <w:rFonts w:ascii="Verdana" w:hAnsi="Verdana"/>
          <w:sz w:val="18"/>
          <w:szCs w:val="18"/>
        </w:rPr>
        <w:t>Visto,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il</w:t>
      </w:r>
      <w:r w:rsidR="00736E84">
        <w:rPr>
          <w:rFonts w:ascii="Verdana" w:hAnsi="Verdana"/>
          <w:sz w:val="18"/>
          <w:szCs w:val="18"/>
        </w:rPr>
        <w:t xml:space="preserve"> </w:t>
      </w:r>
      <w:r w:rsidRPr="0080335E">
        <w:rPr>
          <w:rFonts w:ascii="Verdana" w:hAnsi="Verdana"/>
          <w:sz w:val="18"/>
          <w:szCs w:val="18"/>
        </w:rPr>
        <w:t>Guardasigilli: BONIFACIO</w:t>
      </w:r>
    </w:p>
    <w:sectPr w:rsidR="0080335E" w:rsidRPr="00AB23BD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4" w:rsidRDefault="007666B4" w:rsidP="00BF4639">
      <w:pPr>
        <w:spacing w:after="0" w:line="240" w:lineRule="auto"/>
      </w:pPr>
      <w:r>
        <w:separator/>
      </w:r>
    </w:p>
  </w:endnote>
  <w:end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14" w:rsidRPr="00392214" w:rsidRDefault="00392214" w:rsidP="00392214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392214">
      <w:rPr>
        <w:rFonts w:ascii="Verdana" w:hAnsi="Verdana"/>
        <w:sz w:val="17"/>
        <w:szCs w:val="17"/>
      </w:rPr>
      <w:t>Ultimo aggiornamento: 24/08/2018</w:t>
    </w:r>
    <w:r w:rsidRPr="00392214">
      <w:rPr>
        <w:rFonts w:ascii="Verdana" w:hAnsi="Verdana"/>
        <w:sz w:val="17"/>
        <w:szCs w:val="17"/>
      </w:rPr>
      <w:tab/>
    </w:r>
    <w:r w:rsidRPr="00392214">
      <w:rPr>
        <w:rFonts w:ascii="Verdana" w:hAnsi="Verdana"/>
        <w:sz w:val="17"/>
        <w:szCs w:val="17"/>
      </w:rPr>
      <w:tab/>
    </w:r>
    <w:r w:rsidRPr="00392214">
      <w:rPr>
        <w:rFonts w:ascii="Verdana" w:hAnsi="Verdana"/>
        <w:sz w:val="17"/>
        <w:szCs w:val="17"/>
      </w:rPr>
      <w:fldChar w:fldCharType="begin"/>
    </w:r>
    <w:r w:rsidRPr="00392214">
      <w:rPr>
        <w:rFonts w:ascii="Verdana" w:hAnsi="Verdana"/>
        <w:sz w:val="17"/>
        <w:szCs w:val="17"/>
      </w:rPr>
      <w:instrText>PAGE   \* MERGEFORMAT</w:instrText>
    </w:r>
    <w:r w:rsidRPr="00392214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</w:t>
    </w:r>
    <w:r w:rsidRPr="00392214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4" w:rsidRDefault="007666B4" w:rsidP="00BF4639">
      <w:pPr>
        <w:spacing w:after="0" w:line="240" w:lineRule="auto"/>
      </w:pPr>
      <w:r>
        <w:separator/>
      </w:r>
    </w:p>
  </w:footnote>
  <w:foot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8540E3" w:rsidTr="00CB0A03">
      <w:tc>
        <w:tcPr>
          <w:tcW w:w="3505" w:type="dxa"/>
          <w:vAlign w:val="center"/>
          <w:hideMark/>
        </w:tcPr>
        <w:p w:rsidR="008540E3" w:rsidRDefault="008540E3" w:rsidP="00CB0A03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9270067" wp14:editId="18477132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8540E3" w:rsidRDefault="008540E3" w:rsidP="00CB0A03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7CE55B9" wp14:editId="11BB436C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40E3" w:rsidRDefault="008540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D3251"/>
    <w:rsid w:val="0014397C"/>
    <w:rsid w:val="00185F03"/>
    <w:rsid w:val="001F0403"/>
    <w:rsid w:val="002017DA"/>
    <w:rsid w:val="00216957"/>
    <w:rsid w:val="0023176F"/>
    <w:rsid w:val="00264673"/>
    <w:rsid w:val="002908B3"/>
    <w:rsid w:val="002C65D9"/>
    <w:rsid w:val="00326FD5"/>
    <w:rsid w:val="00392214"/>
    <w:rsid w:val="0039521B"/>
    <w:rsid w:val="003F26FB"/>
    <w:rsid w:val="003F627B"/>
    <w:rsid w:val="00411404"/>
    <w:rsid w:val="0042043B"/>
    <w:rsid w:val="00445CC2"/>
    <w:rsid w:val="004C504F"/>
    <w:rsid w:val="004D64A7"/>
    <w:rsid w:val="00507A6E"/>
    <w:rsid w:val="00536DB0"/>
    <w:rsid w:val="005530FE"/>
    <w:rsid w:val="005865C0"/>
    <w:rsid w:val="005A40F1"/>
    <w:rsid w:val="005F5F40"/>
    <w:rsid w:val="00605E92"/>
    <w:rsid w:val="0067731B"/>
    <w:rsid w:val="006C7EE9"/>
    <w:rsid w:val="00736E84"/>
    <w:rsid w:val="007534C2"/>
    <w:rsid w:val="00760D3C"/>
    <w:rsid w:val="007638B5"/>
    <w:rsid w:val="007666B4"/>
    <w:rsid w:val="007B326A"/>
    <w:rsid w:val="0080335E"/>
    <w:rsid w:val="008540E3"/>
    <w:rsid w:val="008E3639"/>
    <w:rsid w:val="008E685C"/>
    <w:rsid w:val="0094339A"/>
    <w:rsid w:val="009A3353"/>
    <w:rsid w:val="009D6772"/>
    <w:rsid w:val="009E2502"/>
    <w:rsid w:val="00A03BF1"/>
    <w:rsid w:val="00AA0B7A"/>
    <w:rsid w:val="00AB23BD"/>
    <w:rsid w:val="00AC0DC8"/>
    <w:rsid w:val="00B462D3"/>
    <w:rsid w:val="00B552A3"/>
    <w:rsid w:val="00B975E1"/>
    <w:rsid w:val="00BF4639"/>
    <w:rsid w:val="00D04C43"/>
    <w:rsid w:val="00D572B0"/>
    <w:rsid w:val="00D85C1C"/>
    <w:rsid w:val="00D9400B"/>
    <w:rsid w:val="00DE5E42"/>
    <w:rsid w:val="00E72BD9"/>
    <w:rsid w:val="00E7430B"/>
    <w:rsid w:val="00E84F39"/>
    <w:rsid w:val="00EE5769"/>
    <w:rsid w:val="00F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6933-9C9A-44A2-B974-85A2766D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2018-08-24T15:20:00Z</dcterms:created>
  <dcterms:modified xsi:type="dcterms:W3CDTF">2018-08-24T15:20:00Z</dcterms:modified>
</cp:coreProperties>
</file>