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D2C" w:rsidRPr="00942D2C" w:rsidRDefault="00942D2C" w:rsidP="00942D2C">
      <w:pPr>
        <w:tabs>
          <w:tab w:val="left" w:pos="426"/>
        </w:tabs>
        <w:jc w:val="both"/>
        <w:rPr>
          <w:rFonts w:ascii="Verdana" w:hAnsi="Verdana"/>
          <w:b/>
          <w:color w:val="4E3F85"/>
          <w:sz w:val="20"/>
          <w:szCs w:val="20"/>
        </w:rPr>
      </w:pPr>
      <w:r w:rsidRPr="00942D2C">
        <w:rPr>
          <w:rFonts w:ascii="Verdana" w:hAnsi="Verdana"/>
          <w:b/>
          <w:color w:val="4E3F85"/>
          <w:sz w:val="20"/>
          <w:szCs w:val="20"/>
        </w:rPr>
        <w:t>LEGGE 23 dicembre 2009, n. 191</w:t>
      </w:r>
    </w:p>
    <w:p w:rsidR="00942D2C" w:rsidRPr="00942D2C" w:rsidRDefault="00942D2C" w:rsidP="00942D2C">
      <w:pPr>
        <w:tabs>
          <w:tab w:val="left" w:pos="426"/>
        </w:tabs>
        <w:jc w:val="both"/>
        <w:rPr>
          <w:rFonts w:ascii="Verdana" w:hAnsi="Verdana"/>
          <w:sz w:val="20"/>
          <w:szCs w:val="20"/>
        </w:rPr>
      </w:pPr>
      <w:r w:rsidRPr="00942D2C">
        <w:rPr>
          <w:rFonts w:ascii="Verdana" w:hAnsi="Verdana"/>
          <w:sz w:val="20"/>
          <w:szCs w:val="20"/>
        </w:rPr>
        <w:t>Disposizioni per la formazione del</w:t>
      </w:r>
      <w:r>
        <w:rPr>
          <w:rFonts w:ascii="Verdana" w:hAnsi="Verdana"/>
          <w:sz w:val="20"/>
          <w:szCs w:val="20"/>
        </w:rPr>
        <w:t xml:space="preserve"> </w:t>
      </w:r>
      <w:r w:rsidRPr="00942D2C">
        <w:rPr>
          <w:rFonts w:ascii="Verdana" w:hAnsi="Verdana"/>
          <w:sz w:val="20"/>
          <w:szCs w:val="20"/>
        </w:rPr>
        <w:t>bilancio</w:t>
      </w:r>
      <w:r>
        <w:rPr>
          <w:rFonts w:ascii="Verdana" w:hAnsi="Verdana"/>
          <w:sz w:val="20"/>
          <w:szCs w:val="20"/>
        </w:rPr>
        <w:t xml:space="preserve"> </w:t>
      </w:r>
      <w:r w:rsidRPr="00942D2C">
        <w:rPr>
          <w:rFonts w:ascii="Verdana" w:hAnsi="Verdana"/>
          <w:sz w:val="20"/>
          <w:szCs w:val="20"/>
        </w:rPr>
        <w:t>annuale</w:t>
      </w:r>
      <w:r>
        <w:rPr>
          <w:rFonts w:ascii="Verdana" w:hAnsi="Verdana"/>
          <w:sz w:val="20"/>
          <w:szCs w:val="20"/>
        </w:rPr>
        <w:t xml:space="preserve"> </w:t>
      </w:r>
      <w:r w:rsidRPr="00942D2C">
        <w:rPr>
          <w:rFonts w:ascii="Verdana" w:hAnsi="Verdana"/>
          <w:sz w:val="20"/>
          <w:szCs w:val="20"/>
        </w:rPr>
        <w:t>e</w:t>
      </w:r>
      <w:r>
        <w:rPr>
          <w:rFonts w:ascii="Verdana" w:hAnsi="Verdana"/>
          <w:sz w:val="20"/>
          <w:szCs w:val="20"/>
        </w:rPr>
        <w:t xml:space="preserve"> </w:t>
      </w:r>
      <w:r w:rsidRPr="00942D2C">
        <w:rPr>
          <w:rFonts w:ascii="Verdana" w:hAnsi="Verdana"/>
          <w:sz w:val="20"/>
          <w:szCs w:val="20"/>
        </w:rPr>
        <w:t>pluriennale</w:t>
      </w:r>
      <w:r>
        <w:rPr>
          <w:rFonts w:ascii="Verdana" w:hAnsi="Verdana"/>
          <w:sz w:val="20"/>
          <w:szCs w:val="20"/>
        </w:rPr>
        <w:t xml:space="preserve"> </w:t>
      </w:r>
      <w:r w:rsidRPr="00942D2C">
        <w:rPr>
          <w:rFonts w:ascii="Verdana" w:hAnsi="Verdana"/>
          <w:sz w:val="20"/>
          <w:szCs w:val="20"/>
        </w:rPr>
        <w:t>dello</w:t>
      </w:r>
      <w:r w:rsidR="000C49BD">
        <w:rPr>
          <w:rFonts w:ascii="Verdana" w:hAnsi="Verdana"/>
          <w:sz w:val="20"/>
          <w:szCs w:val="20"/>
        </w:rPr>
        <w:t xml:space="preserve"> Stato (legge finanziaria 2010)</w:t>
      </w:r>
      <w:r w:rsidR="000C49BD">
        <w:rPr>
          <w:rStyle w:val="Rimandonotaapidipagina"/>
          <w:rFonts w:ascii="Verdana" w:hAnsi="Verdana"/>
          <w:sz w:val="20"/>
          <w:szCs w:val="20"/>
        </w:rPr>
        <w:footnoteReference w:id="1"/>
      </w:r>
    </w:p>
    <w:p w:rsidR="00942D2C" w:rsidRPr="00942D2C" w:rsidRDefault="00942D2C" w:rsidP="00942D2C">
      <w:pPr>
        <w:jc w:val="both"/>
        <w:rPr>
          <w:rFonts w:ascii="Verdana" w:hAnsi="Verdana"/>
          <w:sz w:val="18"/>
          <w:szCs w:val="18"/>
        </w:rPr>
      </w:pPr>
    </w:p>
    <w:p w:rsidR="00942D2C" w:rsidRPr="00942D2C" w:rsidRDefault="00942D2C" w:rsidP="00EB4A53">
      <w:pPr>
        <w:jc w:val="center"/>
        <w:rPr>
          <w:rFonts w:ascii="Verdana" w:hAnsi="Verdana"/>
          <w:sz w:val="18"/>
          <w:szCs w:val="18"/>
        </w:rPr>
      </w:pPr>
      <w:r w:rsidRPr="00942D2C">
        <w:rPr>
          <w:rFonts w:ascii="Verdana" w:hAnsi="Verdana"/>
          <w:sz w:val="18"/>
          <w:szCs w:val="18"/>
        </w:rPr>
        <w:t>La</w:t>
      </w:r>
      <w:r>
        <w:rPr>
          <w:rFonts w:ascii="Verdana" w:hAnsi="Verdana"/>
          <w:sz w:val="18"/>
          <w:szCs w:val="18"/>
        </w:rPr>
        <w:t xml:space="preserve"> </w:t>
      </w:r>
      <w:r w:rsidRPr="00942D2C">
        <w:rPr>
          <w:rFonts w:ascii="Verdana" w:hAnsi="Verdana"/>
          <w:sz w:val="18"/>
          <w:szCs w:val="18"/>
        </w:rPr>
        <w:t>Camera</w:t>
      </w:r>
      <w:r>
        <w:rPr>
          <w:rFonts w:ascii="Verdana" w:hAnsi="Verdana"/>
          <w:sz w:val="18"/>
          <w:szCs w:val="18"/>
        </w:rPr>
        <w:t xml:space="preserve"> </w:t>
      </w:r>
      <w:r w:rsidRPr="00942D2C">
        <w:rPr>
          <w:rFonts w:ascii="Verdana" w:hAnsi="Verdana"/>
          <w:sz w:val="18"/>
          <w:szCs w:val="18"/>
        </w:rPr>
        <w:t>dei</w:t>
      </w:r>
      <w:r>
        <w:rPr>
          <w:rFonts w:ascii="Verdana" w:hAnsi="Verdana"/>
          <w:sz w:val="18"/>
          <w:szCs w:val="18"/>
        </w:rPr>
        <w:t xml:space="preserve"> </w:t>
      </w:r>
      <w:r w:rsidRPr="00942D2C">
        <w:rPr>
          <w:rFonts w:ascii="Verdana" w:hAnsi="Verdana"/>
          <w:sz w:val="18"/>
          <w:szCs w:val="18"/>
        </w:rPr>
        <w:t>deputati</w:t>
      </w:r>
      <w:r>
        <w:rPr>
          <w:rFonts w:ascii="Verdana" w:hAnsi="Verdana"/>
          <w:sz w:val="18"/>
          <w:szCs w:val="18"/>
        </w:rPr>
        <w:t xml:space="preserve"> </w:t>
      </w:r>
      <w:r w:rsidRPr="00942D2C">
        <w:rPr>
          <w:rFonts w:ascii="Verdana" w:hAnsi="Verdana"/>
          <w:sz w:val="18"/>
          <w:szCs w:val="18"/>
        </w:rPr>
        <w:t>ed</w:t>
      </w:r>
      <w:r>
        <w:rPr>
          <w:rFonts w:ascii="Verdana" w:hAnsi="Verdana"/>
          <w:sz w:val="18"/>
          <w:szCs w:val="18"/>
        </w:rPr>
        <w:t xml:space="preserve"> </w:t>
      </w:r>
      <w:r w:rsidRPr="00942D2C">
        <w:rPr>
          <w:rFonts w:ascii="Verdana" w:hAnsi="Verdana"/>
          <w:sz w:val="18"/>
          <w:szCs w:val="18"/>
        </w:rPr>
        <w:t>il</w:t>
      </w:r>
      <w:r>
        <w:rPr>
          <w:rFonts w:ascii="Verdana" w:hAnsi="Verdana"/>
          <w:sz w:val="18"/>
          <w:szCs w:val="18"/>
        </w:rPr>
        <w:t xml:space="preserve"> </w:t>
      </w:r>
      <w:r w:rsidRPr="00942D2C">
        <w:rPr>
          <w:rFonts w:ascii="Verdana" w:hAnsi="Verdana"/>
          <w:sz w:val="18"/>
          <w:szCs w:val="18"/>
        </w:rPr>
        <w:t>Senato</w:t>
      </w:r>
      <w:r>
        <w:rPr>
          <w:rFonts w:ascii="Verdana" w:hAnsi="Verdana"/>
          <w:sz w:val="18"/>
          <w:szCs w:val="18"/>
        </w:rPr>
        <w:t xml:space="preserve"> </w:t>
      </w:r>
      <w:r w:rsidRPr="00942D2C">
        <w:rPr>
          <w:rFonts w:ascii="Verdana" w:hAnsi="Verdana"/>
          <w:sz w:val="18"/>
          <w:szCs w:val="18"/>
        </w:rPr>
        <w:t>della</w:t>
      </w:r>
      <w:r>
        <w:rPr>
          <w:rFonts w:ascii="Verdana" w:hAnsi="Verdana"/>
          <w:sz w:val="18"/>
          <w:szCs w:val="18"/>
        </w:rPr>
        <w:t xml:space="preserve"> </w:t>
      </w:r>
      <w:r w:rsidRPr="00942D2C">
        <w:rPr>
          <w:rFonts w:ascii="Verdana" w:hAnsi="Verdana"/>
          <w:sz w:val="18"/>
          <w:szCs w:val="18"/>
        </w:rPr>
        <w:t>Repubblica</w:t>
      </w:r>
      <w:r>
        <w:rPr>
          <w:rFonts w:ascii="Verdana" w:hAnsi="Verdana"/>
          <w:sz w:val="18"/>
          <w:szCs w:val="18"/>
        </w:rPr>
        <w:t xml:space="preserve"> </w:t>
      </w:r>
      <w:r w:rsidRPr="00942D2C">
        <w:rPr>
          <w:rFonts w:ascii="Verdana" w:hAnsi="Verdana"/>
          <w:sz w:val="18"/>
          <w:szCs w:val="18"/>
        </w:rPr>
        <w:t>hanno</w:t>
      </w:r>
      <w:r>
        <w:rPr>
          <w:rFonts w:ascii="Verdana" w:hAnsi="Verdana"/>
          <w:sz w:val="18"/>
          <w:szCs w:val="18"/>
        </w:rPr>
        <w:t xml:space="preserve"> </w:t>
      </w:r>
      <w:r w:rsidRPr="00942D2C">
        <w:rPr>
          <w:rFonts w:ascii="Verdana" w:hAnsi="Verdana"/>
          <w:sz w:val="18"/>
          <w:szCs w:val="18"/>
        </w:rPr>
        <w:t>approvato;</w:t>
      </w:r>
    </w:p>
    <w:p w:rsidR="00942D2C" w:rsidRPr="00942D2C" w:rsidRDefault="00942D2C" w:rsidP="00942D2C">
      <w:pPr>
        <w:tabs>
          <w:tab w:val="left" w:pos="426"/>
        </w:tabs>
        <w:jc w:val="center"/>
        <w:rPr>
          <w:rFonts w:ascii="Verdana" w:hAnsi="Verdana"/>
          <w:sz w:val="18"/>
          <w:szCs w:val="18"/>
        </w:rPr>
      </w:pPr>
      <w:r>
        <w:rPr>
          <w:rFonts w:ascii="Verdana" w:hAnsi="Verdana"/>
          <w:sz w:val="18"/>
          <w:szCs w:val="18"/>
        </w:rPr>
        <w:t>IL PRESIDENTE DELLA REPUBBLICA</w:t>
      </w:r>
    </w:p>
    <w:p w:rsidR="00942D2C" w:rsidRPr="00942D2C" w:rsidRDefault="00942D2C" w:rsidP="00942D2C">
      <w:pPr>
        <w:tabs>
          <w:tab w:val="left" w:pos="426"/>
        </w:tabs>
        <w:jc w:val="center"/>
        <w:rPr>
          <w:rFonts w:ascii="Verdana" w:hAnsi="Verdana"/>
          <w:sz w:val="18"/>
          <w:szCs w:val="18"/>
        </w:rPr>
      </w:pPr>
      <w:r>
        <w:rPr>
          <w:rFonts w:ascii="Verdana" w:hAnsi="Verdana"/>
          <w:sz w:val="18"/>
          <w:szCs w:val="18"/>
        </w:rPr>
        <w:t>PROMULGA</w:t>
      </w:r>
    </w:p>
    <w:p w:rsidR="00942D2C" w:rsidRPr="00942D2C" w:rsidRDefault="00942D2C" w:rsidP="00942D2C">
      <w:pPr>
        <w:tabs>
          <w:tab w:val="left" w:pos="426"/>
        </w:tabs>
        <w:jc w:val="center"/>
        <w:rPr>
          <w:rFonts w:ascii="Verdana" w:hAnsi="Verdana"/>
          <w:sz w:val="18"/>
          <w:szCs w:val="18"/>
        </w:rPr>
      </w:pPr>
      <w:r w:rsidRPr="00942D2C">
        <w:rPr>
          <w:rFonts w:ascii="Verdana" w:hAnsi="Verdana"/>
          <w:sz w:val="18"/>
          <w:szCs w:val="18"/>
        </w:rPr>
        <w:t>la seguente legge:</w:t>
      </w:r>
    </w:p>
    <w:p w:rsidR="00942D2C" w:rsidRPr="00942D2C" w:rsidRDefault="00942D2C" w:rsidP="00942D2C">
      <w:pPr>
        <w:jc w:val="both"/>
        <w:rPr>
          <w:rFonts w:ascii="Verdana" w:hAnsi="Verdana"/>
          <w:sz w:val="18"/>
          <w:szCs w:val="18"/>
        </w:rPr>
      </w:pPr>
    </w:p>
    <w:p w:rsidR="00942D2C" w:rsidRDefault="00202AC7" w:rsidP="00942D2C">
      <w:pPr>
        <w:tabs>
          <w:tab w:val="left" w:pos="426"/>
        </w:tabs>
        <w:spacing w:after="0"/>
        <w:jc w:val="both"/>
        <w:rPr>
          <w:rFonts w:ascii="Verdana" w:hAnsi="Verdana"/>
          <w:b/>
          <w:color w:val="1F497D" w:themeColor="text2"/>
          <w:sz w:val="18"/>
          <w:szCs w:val="18"/>
        </w:rPr>
      </w:pPr>
      <w:r>
        <w:rPr>
          <w:rFonts w:ascii="Verdana" w:hAnsi="Verdana"/>
          <w:b/>
          <w:color w:val="1F497D" w:themeColor="text2"/>
          <w:sz w:val="18"/>
          <w:szCs w:val="18"/>
        </w:rPr>
        <w:t>Art. 1 – Risultati differenziali</w:t>
      </w:r>
    </w:p>
    <w:p w:rsidR="00942D2C" w:rsidRPr="00942D2C" w:rsidRDefault="00942D2C" w:rsidP="00942D2C">
      <w:pPr>
        <w:jc w:val="both"/>
        <w:rPr>
          <w:rFonts w:ascii="Verdana" w:hAnsi="Verdana"/>
          <w:i/>
          <w:sz w:val="18"/>
          <w:szCs w:val="18"/>
        </w:rPr>
      </w:pPr>
      <w:r w:rsidRPr="00942D2C">
        <w:rPr>
          <w:rFonts w:ascii="Verdana" w:hAnsi="Verdana"/>
          <w:i/>
          <w:sz w:val="18"/>
          <w:szCs w:val="18"/>
        </w:rPr>
        <w:t>(Omissis)</w:t>
      </w:r>
    </w:p>
    <w:p w:rsidR="00942D2C" w:rsidRPr="00942D2C" w:rsidRDefault="00942D2C" w:rsidP="00942D2C">
      <w:pPr>
        <w:tabs>
          <w:tab w:val="left" w:pos="426"/>
        </w:tabs>
        <w:spacing w:after="0"/>
        <w:jc w:val="both"/>
        <w:rPr>
          <w:rFonts w:ascii="Verdana" w:hAnsi="Verdana"/>
          <w:sz w:val="18"/>
          <w:szCs w:val="18"/>
        </w:rPr>
      </w:pPr>
    </w:p>
    <w:p w:rsidR="00942D2C" w:rsidRPr="00942D2C" w:rsidRDefault="00942D2C" w:rsidP="00942D2C">
      <w:pPr>
        <w:tabs>
          <w:tab w:val="left" w:pos="426"/>
        </w:tabs>
        <w:spacing w:after="0"/>
        <w:jc w:val="both"/>
        <w:rPr>
          <w:rFonts w:ascii="Verdana" w:hAnsi="Verdana"/>
          <w:b/>
          <w:color w:val="1F497D" w:themeColor="text2"/>
          <w:sz w:val="18"/>
          <w:szCs w:val="18"/>
        </w:rPr>
      </w:pPr>
      <w:r w:rsidRPr="00942D2C">
        <w:rPr>
          <w:rFonts w:ascii="Verdana" w:hAnsi="Verdana"/>
          <w:b/>
          <w:color w:val="1F497D" w:themeColor="text2"/>
          <w:sz w:val="18"/>
          <w:szCs w:val="18"/>
        </w:rPr>
        <w:t xml:space="preserve">Art. </w:t>
      </w:r>
      <w:r w:rsidR="00202AC7">
        <w:rPr>
          <w:rFonts w:ascii="Verdana" w:hAnsi="Verdana"/>
          <w:b/>
          <w:color w:val="1F497D" w:themeColor="text2"/>
          <w:sz w:val="18"/>
          <w:szCs w:val="18"/>
        </w:rPr>
        <w:t>2 – Disposizioni diverse</w:t>
      </w:r>
    </w:p>
    <w:p w:rsidR="00202AC7" w:rsidRPr="00202AC7" w:rsidRDefault="00202AC7" w:rsidP="00AC7EAC">
      <w:pPr>
        <w:spacing w:after="120"/>
        <w:jc w:val="both"/>
        <w:rPr>
          <w:rFonts w:ascii="Verdana" w:hAnsi="Verdana"/>
          <w:i/>
          <w:sz w:val="18"/>
          <w:szCs w:val="18"/>
        </w:rPr>
      </w:pPr>
      <w:r>
        <w:rPr>
          <w:rFonts w:ascii="Verdana" w:hAnsi="Verdana"/>
          <w:sz w:val="18"/>
          <w:szCs w:val="18"/>
        </w:rPr>
        <w:t>1</w:t>
      </w:r>
      <w:r w:rsidR="00FD78C0">
        <w:rPr>
          <w:rFonts w:ascii="Verdana" w:hAnsi="Verdana"/>
          <w:sz w:val="18"/>
          <w:szCs w:val="18"/>
        </w:rPr>
        <w:t>.</w:t>
      </w:r>
      <w:r>
        <w:rPr>
          <w:rFonts w:ascii="Verdana" w:hAnsi="Verdana"/>
          <w:sz w:val="18"/>
          <w:szCs w:val="18"/>
        </w:rPr>
        <w:t>-182.</w:t>
      </w:r>
      <w:r w:rsidR="001D01D2">
        <w:rPr>
          <w:rFonts w:ascii="Verdana" w:hAnsi="Verdana"/>
          <w:sz w:val="18"/>
          <w:szCs w:val="18"/>
        </w:rPr>
        <w:tab/>
      </w:r>
      <w:r w:rsidR="001D01D2" w:rsidRPr="001D01D2">
        <w:rPr>
          <w:rFonts w:ascii="Verdana" w:hAnsi="Verdana"/>
          <w:i/>
          <w:sz w:val="18"/>
          <w:szCs w:val="18"/>
        </w:rPr>
        <w:t>(</w:t>
      </w:r>
      <w:r>
        <w:rPr>
          <w:rFonts w:ascii="Verdana" w:hAnsi="Verdana"/>
          <w:i/>
          <w:sz w:val="18"/>
          <w:szCs w:val="18"/>
        </w:rPr>
        <w:t>Omissis</w:t>
      </w:r>
      <w:r w:rsidR="001D01D2">
        <w:rPr>
          <w:rFonts w:ascii="Verdana" w:hAnsi="Verdana"/>
          <w:i/>
          <w:sz w:val="18"/>
          <w:szCs w:val="18"/>
        </w:rPr>
        <w:t>)</w:t>
      </w:r>
    </w:p>
    <w:p w:rsidR="003212EE" w:rsidRDefault="003212EE" w:rsidP="003212EE">
      <w:pPr>
        <w:tabs>
          <w:tab w:val="left" w:pos="426"/>
        </w:tabs>
        <w:spacing w:after="120"/>
        <w:jc w:val="both"/>
        <w:rPr>
          <w:rFonts w:ascii="Verdana" w:hAnsi="Verdana"/>
          <w:sz w:val="18"/>
          <w:szCs w:val="18"/>
        </w:rPr>
      </w:pPr>
      <w:r>
        <w:rPr>
          <w:rFonts w:ascii="Verdana" w:hAnsi="Verdana"/>
          <w:sz w:val="18"/>
          <w:szCs w:val="18"/>
        </w:rPr>
        <w:t xml:space="preserve">183. </w:t>
      </w:r>
      <w:r w:rsidRPr="003212EE">
        <w:rPr>
          <w:rFonts w:ascii="Verdana" w:hAnsi="Verdana"/>
          <w:sz w:val="18"/>
          <w:szCs w:val="18"/>
        </w:rPr>
        <w:t xml:space="preserve">Il contributo ordinario base spettante agli enti locali a valere sul fondo ordinario di cui all'articolo 34, comma 1, lettera </w:t>
      </w:r>
      <w:r w:rsidRPr="003212EE">
        <w:rPr>
          <w:rFonts w:ascii="Verdana" w:hAnsi="Verdana"/>
          <w:i/>
          <w:sz w:val="18"/>
          <w:szCs w:val="18"/>
        </w:rPr>
        <w:t>a)</w:t>
      </w:r>
      <w:r w:rsidRPr="003212EE">
        <w:rPr>
          <w:rFonts w:ascii="Verdana" w:hAnsi="Verdana"/>
          <w:sz w:val="18"/>
          <w:szCs w:val="18"/>
        </w:rPr>
        <w:t xml:space="preserve">, del decreto legislativo 30 dicembre 1992, n. 504, </w:t>
      </w:r>
      <w:r>
        <w:rPr>
          <w:rFonts w:ascii="Verdana" w:hAnsi="Verdana"/>
          <w:sz w:val="18"/>
          <w:szCs w:val="18"/>
        </w:rPr>
        <w:t>è</w:t>
      </w:r>
      <w:r w:rsidRPr="003212EE">
        <w:rPr>
          <w:rFonts w:ascii="Verdana" w:hAnsi="Verdana"/>
          <w:sz w:val="18"/>
          <w:szCs w:val="18"/>
        </w:rPr>
        <w:t xml:space="preserve"> ridotto per ciascuno degli anni 2010, 2011 e 2012, rispettivamente di 1 milione di euro, di 5 milioni di euro e di 7 milioni di euro per le province e di 12 milioni di euro, di 86 milioni di euro e di 118 milioni di euro per i comuni. Il Ministro dell'interno, con proprio decreto, di concerto con il Ministro dell'economia e delle finanze, provvede per l'anno 2010 alla corrispondente riduzione, in proporzione alla popolazione residente, del contributo ordinario spettante ai singoli enti. Per l'anno 2011 il Ministro dell'interno, con proprio decreto, di concerto con il Ministro dell'economia e delle finanze, provvede alla corrispondente riduzione, in proporzione alla popolazione residente, del contributo ordinario spettante ai singoli enti per i quali ha luogo il rinnovo dei rispettivi consigli. Per l'anno 2012 la riduzione del contributo ordinario viene applicata, in proporzione alla popolazione residente, a tutti gli enti per i quali il rinnovo dei rispettivi consigli ha luogo nel medesimo anno e a quelli per i quali ha avuto luogo nell'anno precedente. </w:t>
      </w:r>
      <w:r w:rsidRPr="003212EE">
        <w:rPr>
          <w:rFonts w:ascii="Verdana" w:hAnsi="Verdana"/>
          <w:i/>
          <w:sz w:val="18"/>
          <w:szCs w:val="18"/>
        </w:rPr>
        <w:t xml:space="preserve">Periodo soppresso dal </w:t>
      </w:r>
      <w:r>
        <w:rPr>
          <w:rFonts w:ascii="Verdana" w:hAnsi="Verdana"/>
          <w:i/>
          <w:sz w:val="18"/>
          <w:szCs w:val="18"/>
        </w:rPr>
        <w:t>D</w:t>
      </w:r>
      <w:r w:rsidRPr="003212EE">
        <w:rPr>
          <w:rFonts w:ascii="Verdana" w:hAnsi="Verdana"/>
          <w:i/>
          <w:sz w:val="18"/>
          <w:szCs w:val="18"/>
        </w:rPr>
        <w:t>.</w:t>
      </w:r>
      <w:r>
        <w:rPr>
          <w:rFonts w:ascii="Verdana" w:hAnsi="Verdana"/>
          <w:i/>
          <w:sz w:val="18"/>
          <w:szCs w:val="18"/>
        </w:rPr>
        <w:t>L</w:t>
      </w:r>
      <w:r w:rsidRPr="003212EE">
        <w:rPr>
          <w:rFonts w:ascii="Verdana" w:hAnsi="Verdana"/>
          <w:i/>
          <w:sz w:val="18"/>
          <w:szCs w:val="18"/>
        </w:rPr>
        <w:t>. 6 marzo 2014, n. 16, conv</w:t>
      </w:r>
      <w:r>
        <w:rPr>
          <w:rFonts w:ascii="Verdana" w:hAnsi="Verdana"/>
          <w:i/>
          <w:sz w:val="18"/>
          <w:szCs w:val="18"/>
        </w:rPr>
        <w:t>ertito con modificazioni dalla L</w:t>
      </w:r>
      <w:r w:rsidRPr="003212EE">
        <w:rPr>
          <w:rFonts w:ascii="Verdana" w:hAnsi="Verdana"/>
          <w:i/>
          <w:sz w:val="18"/>
          <w:szCs w:val="18"/>
        </w:rPr>
        <w:t>. 2 maggio 2014, n. 68</w:t>
      </w:r>
      <w:r w:rsidRPr="003212EE">
        <w:rPr>
          <w:rFonts w:ascii="Verdana" w:hAnsi="Verdana"/>
          <w:sz w:val="18"/>
          <w:szCs w:val="18"/>
        </w:rPr>
        <w:t xml:space="preserve">. </w:t>
      </w:r>
      <w:r w:rsidRPr="003212EE">
        <w:rPr>
          <w:rFonts w:ascii="Verdana" w:hAnsi="Verdana"/>
          <w:i/>
          <w:sz w:val="18"/>
          <w:szCs w:val="18"/>
        </w:rPr>
        <w:t xml:space="preserve">Periodo soppresso dal </w:t>
      </w:r>
      <w:r>
        <w:rPr>
          <w:rFonts w:ascii="Verdana" w:hAnsi="Verdana"/>
          <w:i/>
          <w:sz w:val="18"/>
          <w:szCs w:val="18"/>
        </w:rPr>
        <w:t>D</w:t>
      </w:r>
      <w:r w:rsidRPr="003212EE">
        <w:rPr>
          <w:rFonts w:ascii="Verdana" w:hAnsi="Verdana"/>
          <w:i/>
          <w:sz w:val="18"/>
          <w:szCs w:val="18"/>
        </w:rPr>
        <w:t>.</w:t>
      </w:r>
      <w:r>
        <w:rPr>
          <w:rFonts w:ascii="Verdana" w:hAnsi="Verdana"/>
          <w:i/>
          <w:sz w:val="18"/>
          <w:szCs w:val="18"/>
        </w:rPr>
        <w:t>L</w:t>
      </w:r>
      <w:r w:rsidRPr="003212EE">
        <w:rPr>
          <w:rFonts w:ascii="Verdana" w:hAnsi="Verdana"/>
          <w:i/>
          <w:sz w:val="18"/>
          <w:szCs w:val="18"/>
        </w:rPr>
        <w:t>. 6 marzo 2014, n. 16, conv</w:t>
      </w:r>
      <w:r>
        <w:rPr>
          <w:rFonts w:ascii="Verdana" w:hAnsi="Verdana"/>
          <w:i/>
          <w:sz w:val="18"/>
          <w:szCs w:val="18"/>
        </w:rPr>
        <w:t>ertito con modificazioni dalla L</w:t>
      </w:r>
      <w:r w:rsidRPr="003212EE">
        <w:rPr>
          <w:rFonts w:ascii="Verdana" w:hAnsi="Verdana"/>
          <w:i/>
          <w:sz w:val="18"/>
          <w:szCs w:val="18"/>
        </w:rPr>
        <w:t>. 2 maggio 2014, n. 68</w:t>
      </w:r>
      <w:r w:rsidRPr="003212EE">
        <w:rPr>
          <w:rFonts w:ascii="Verdana" w:hAnsi="Verdana"/>
          <w:sz w:val="18"/>
          <w:szCs w:val="18"/>
        </w:rPr>
        <w:t>. Le regioni a statuto speciale e le province autonome di Trento e di Bolzano disciplinano quanto previsto dai commi da 184 a 187 secondo quanto previsto dai rispettivi statuti e dalle relative norme di attuazione, fermo restando quanto disposto dall'articolo 10 della legge costituzion</w:t>
      </w:r>
      <w:r w:rsidR="0064310E">
        <w:rPr>
          <w:rFonts w:ascii="Verdana" w:hAnsi="Verdana"/>
          <w:sz w:val="18"/>
          <w:szCs w:val="18"/>
        </w:rPr>
        <w:t>ale 18 ottobre 2001, n. 3</w:t>
      </w:r>
      <w:r w:rsidR="0064310E">
        <w:rPr>
          <w:rStyle w:val="Rimandonotaapidipagina"/>
          <w:rFonts w:ascii="Verdana" w:hAnsi="Verdana"/>
          <w:sz w:val="18"/>
          <w:szCs w:val="18"/>
        </w:rPr>
        <w:footnoteReference w:id="2"/>
      </w:r>
      <w:r w:rsidR="0064310E">
        <w:rPr>
          <w:rFonts w:ascii="Verdana" w:hAnsi="Verdana"/>
          <w:sz w:val="18"/>
          <w:szCs w:val="18"/>
        </w:rPr>
        <w:t>.</w:t>
      </w:r>
    </w:p>
    <w:p w:rsidR="003212EE" w:rsidRDefault="003212EE" w:rsidP="003212EE">
      <w:pPr>
        <w:tabs>
          <w:tab w:val="left" w:pos="426"/>
        </w:tabs>
        <w:spacing w:after="120"/>
        <w:jc w:val="both"/>
        <w:rPr>
          <w:rFonts w:ascii="Verdana" w:hAnsi="Verdana"/>
          <w:sz w:val="18"/>
          <w:szCs w:val="18"/>
        </w:rPr>
      </w:pPr>
      <w:r w:rsidRPr="003212EE">
        <w:rPr>
          <w:rFonts w:ascii="Verdana" w:hAnsi="Verdana"/>
          <w:sz w:val="18"/>
          <w:szCs w:val="18"/>
        </w:rPr>
        <w:t xml:space="preserve">184. In relazione alle riduzioni del contributo ordinario di cui al comma 183, il numero dei consiglieri comunali e dei consiglieri provinciali </w:t>
      </w:r>
      <w:r>
        <w:rPr>
          <w:rFonts w:ascii="Verdana" w:hAnsi="Verdana"/>
          <w:sz w:val="18"/>
          <w:szCs w:val="18"/>
        </w:rPr>
        <w:t>è</w:t>
      </w:r>
      <w:r w:rsidRPr="003212EE">
        <w:rPr>
          <w:rFonts w:ascii="Verdana" w:hAnsi="Verdana"/>
          <w:sz w:val="18"/>
          <w:szCs w:val="18"/>
        </w:rPr>
        <w:t xml:space="preserve"> rid</w:t>
      </w:r>
      <w:r>
        <w:rPr>
          <w:rFonts w:ascii="Verdana" w:hAnsi="Verdana"/>
          <w:sz w:val="18"/>
          <w:szCs w:val="18"/>
        </w:rPr>
        <w:t>otto del 20 per cento. L'entità</w:t>
      </w:r>
      <w:r w:rsidRPr="003212EE">
        <w:rPr>
          <w:rFonts w:ascii="Verdana" w:hAnsi="Verdana"/>
          <w:sz w:val="18"/>
          <w:szCs w:val="18"/>
        </w:rPr>
        <w:t xml:space="preserve"> della riduzione </w:t>
      </w:r>
      <w:r>
        <w:rPr>
          <w:rFonts w:ascii="Verdana" w:hAnsi="Verdana"/>
          <w:sz w:val="18"/>
          <w:szCs w:val="18"/>
        </w:rPr>
        <w:t>è</w:t>
      </w:r>
      <w:r w:rsidRPr="003212EE">
        <w:rPr>
          <w:rFonts w:ascii="Verdana" w:hAnsi="Verdana"/>
          <w:sz w:val="18"/>
          <w:szCs w:val="18"/>
        </w:rPr>
        <w:t xml:space="preserve"> determina</w:t>
      </w:r>
      <w:r>
        <w:rPr>
          <w:rFonts w:ascii="Verdana" w:hAnsi="Verdana"/>
          <w:sz w:val="18"/>
          <w:szCs w:val="18"/>
        </w:rPr>
        <w:t>ta con arrotondamento all'unità</w:t>
      </w:r>
      <w:r w:rsidRPr="003212EE">
        <w:rPr>
          <w:rFonts w:ascii="Verdana" w:hAnsi="Verdana"/>
          <w:sz w:val="18"/>
          <w:szCs w:val="18"/>
        </w:rPr>
        <w:t xml:space="preserve"> superiore. Ai fini della riduzione del </w:t>
      </w:r>
      <w:r w:rsidRPr="003212EE">
        <w:rPr>
          <w:rFonts w:ascii="Verdana" w:hAnsi="Verdana"/>
          <w:sz w:val="18"/>
          <w:szCs w:val="18"/>
        </w:rPr>
        <w:lastRenderedPageBreak/>
        <w:t>numero dei consiglieri comunali e dei consiglieri provinciali di cui al primo periodo non sono computati il sindaco e il presidente della provincia</w:t>
      </w:r>
      <w:r w:rsidR="0064310E">
        <w:rPr>
          <w:rStyle w:val="Rimandonotaapidipagina"/>
          <w:rFonts w:ascii="Verdana" w:hAnsi="Verdana"/>
          <w:sz w:val="18"/>
          <w:szCs w:val="18"/>
        </w:rPr>
        <w:footnoteReference w:id="3"/>
      </w:r>
      <w:r w:rsidRPr="003212EE">
        <w:rPr>
          <w:rFonts w:ascii="Verdana" w:hAnsi="Verdana"/>
          <w:sz w:val="18"/>
          <w:szCs w:val="18"/>
        </w:rPr>
        <w:t xml:space="preserve">. </w:t>
      </w:r>
    </w:p>
    <w:p w:rsidR="00E84F39" w:rsidRPr="00942D2C" w:rsidRDefault="003212EE" w:rsidP="003212EE">
      <w:pPr>
        <w:tabs>
          <w:tab w:val="left" w:pos="426"/>
        </w:tabs>
        <w:jc w:val="both"/>
        <w:rPr>
          <w:rFonts w:ascii="Verdana" w:hAnsi="Verdana"/>
          <w:sz w:val="18"/>
          <w:szCs w:val="18"/>
        </w:rPr>
      </w:pPr>
      <w:r w:rsidRPr="003212EE">
        <w:rPr>
          <w:rFonts w:ascii="Verdana" w:hAnsi="Verdana"/>
          <w:sz w:val="18"/>
          <w:szCs w:val="18"/>
        </w:rPr>
        <w:t>185. Il numero mas</w:t>
      </w:r>
      <w:r>
        <w:rPr>
          <w:rFonts w:ascii="Verdana" w:hAnsi="Verdana"/>
          <w:sz w:val="18"/>
          <w:szCs w:val="18"/>
        </w:rPr>
        <w:t>simo degli assessori comunali è</w:t>
      </w:r>
      <w:r w:rsidRPr="003212EE">
        <w:rPr>
          <w:rFonts w:ascii="Verdana" w:hAnsi="Verdana"/>
          <w:sz w:val="18"/>
          <w:szCs w:val="18"/>
        </w:rPr>
        <w:t xml:space="preserve"> determinato, per ciascun comune, in misura pari a un quarto del numero dei consiglieri del comun</w:t>
      </w:r>
      <w:r>
        <w:rPr>
          <w:rFonts w:ascii="Verdana" w:hAnsi="Verdana"/>
          <w:sz w:val="18"/>
          <w:szCs w:val="18"/>
        </w:rPr>
        <w:t>e, con arrotondamento all'unità</w:t>
      </w:r>
      <w:r w:rsidRPr="003212EE">
        <w:rPr>
          <w:rFonts w:ascii="Verdana" w:hAnsi="Verdana"/>
          <w:sz w:val="18"/>
          <w:szCs w:val="18"/>
        </w:rPr>
        <w:t xml:space="preserve"> superiore. Il numero massimo degli assessori provinciali </w:t>
      </w:r>
      <w:r>
        <w:rPr>
          <w:rFonts w:ascii="Verdana" w:hAnsi="Verdana"/>
          <w:sz w:val="18"/>
          <w:szCs w:val="18"/>
        </w:rPr>
        <w:t>è</w:t>
      </w:r>
      <w:r w:rsidRPr="003212EE">
        <w:rPr>
          <w:rFonts w:ascii="Verdana" w:hAnsi="Verdana"/>
          <w:sz w:val="18"/>
          <w:szCs w:val="18"/>
        </w:rPr>
        <w:t xml:space="preserve"> determinato, per ciascuna provincia, in misura pari a un quarto del numero dei consiglieri della provincia, con </w:t>
      </w:r>
      <w:r>
        <w:rPr>
          <w:rFonts w:ascii="Verdana" w:hAnsi="Verdana"/>
          <w:sz w:val="18"/>
          <w:szCs w:val="18"/>
        </w:rPr>
        <w:t>arrotondamento all'unità</w:t>
      </w:r>
      <w:r w:rsidRPr="003212EE">
        <w:rPr>
          <w:rFonts w:ascii="Verdana" w:hAnsi="Verdana"/>
          <w:sz w:val="18"/>
          <w:szCs w:val="18"/>
        </w:rPr>
        <w:t xml:space="preserve"> superiore. Ai fini di cui al presente comma, nel numero dei consiglieri del comune e dei consiglieri della provincia sono computati, rispettivamente, il sindaco e il</w:t>
      </w:r>
      <w:r>
        <w:rPr>
          <w:rFonts w:ascii="Verdana" w:hAnsi="Verdana"/>
          <w:sz w:val="18"/>
          <w:szCs w:val="18"/>
        </w:rPr>
        <w:t xml:space="preserve"> presidente della provincia</w:t>
      </w:r>
      <w:r>
        <w:rPr>
          <w:rStyle w:val="Rimandonotaapidipagina"/>
          <w:rFonts w:ascii="Verdana" w:hAnsi="Verdana"/>
          <w:sz w:val="18"/>
          <w:szCs w:val="18"/>
        </w:rPr>
        <w:footnoteReference w:id="4"/>
      </w:r>
      <w:r>
        <w:rPr>
          <w:rFonts w:ascii="Verdana" w:hAnsi="Verdana"/>
          <w:sz w:val="18"/>
          <w:szCs w:val="18"/>
        </w:rPr>
        <w:t>.</w:t>
      </w:r>
    </w:p>
    <w:sectPr w:rsidR="00E84F39" w:rsidRPr="00942D2C" w:rsidSect="00D85C1C">
      <w:headerReference w:type="default" r:id="rId8"/>
      <w:footerReference w:type="default" r:id="rId9"/>
      <w:pgSz w:w="11906" w:h="16838" w:code="9"/>
      <w:pgMar w:top="1417"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D2C" w:rsidRDefault="00942D2C" w:rsidP="00942D2C">
      <w:pPr>
        <w:spacing w:after="0" w:line="240" w:lineRule="auto"/>
      </w:pPr>
      <w:r>
        <w:separator/>
      </w:r>
    </w:p>
  </w:endnote>
  <w:endnote w:type="continuationSeparator" w:id="0">
    <w:p w:rsidR="00942D2C" w:rsidRDefault="00942D2C" w:rsidP="00942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C6" w:rsidRPr="000458C6" w:rsidRDefault="000458C6" w:rsidP="000458C6">
    <w:pPr>
      <w:pStyle w:val="Pidipagina"/>
      <w:tabs>
        <w:tab w:val="right" w:pos="8505"/>
      </w:tabs>
      <w:rPr>
        <w:rFonts w:ascii="Verdana" w:hAnsi="Verdana"/>
        <w:sz w:val="17"/>
        <w:szCs w:val="17"/>
      </w:rPr>
    </w:pPr>
    <w:r w:rsidRPr="000458C6">
      <w:rPr>
        <w:rFonts w:ascii="Verdana" w:hAnsi="Verdana"/>
        <w:sz w:val="17"/>
        <w:szCs w:val="17"/>
      </w:rPr>
      <w:t>Ultimo aggiornamento: 24/08/2018</w:t>
    </w:r>
    <w:r w:rsidRPr="000458C6">
      <w:rPr>
        <w:rFonts w:ascii="Verdana" w:hAnsi="Verdana"/>
        <w:sz w:val="17"/>
        <w:szCs w:val="17"/>
      </w:rPr>
      <w:tab/>
    </w:r>
    <w:r w:rsidRPr="000458C6">
      <w:rPr>
        <w:rFonts w:ascii="Verdana" w:hAnsi="Verdana"/>
        <w:sz w:val="17"/>
        <w:szCs w:val="17"/>
      </w:rPr>
      <w:tab/>
    </w:r>
    <w:r w:rsidRPr="000458C6">
      <w:rPr>
        <w:rFonts w:ascii="Verdana" w:hAnsi="Verdana"/>
        <w:sz w:val="17"/>
        <w:szCs w:val="17"/>
      </w:rPr>
      <w:fldChar w:fldCharType="begin"/>
    </w:r>
    <w:r w:rsidRPr="000458C6">
      <w:rPr>
        <w:rFonts w:ascii="Verdana" w:hAnsi="Verdana"/>
        <w:sz w:val="17"/>
        <w:szCs w:val="17"/>
      </w:rPr>
      <w:instrText>PAGE   \* MERGEFORMAT</w:instrText>
    </w:r>
    <w:r w:rsidRPr="000458C6">
      <w:rPr>
        <w:rFonts w:ascii="Verdana" w:hAnsi="Verdana"/>
        <w:sz w:val="17"/>
        <w:szCs w:val="17"/>
      </w:rPr>
      <w:fldChar w:fldCharType="separate"/>
    </w:r>
    <w:r>
      <w:rPr>
        <w:rFonts w:ascii="Verdana" w:hAnsi="Verdana"/>
        <w:noProof/>
        <w:sz w:val="17"/>
        <w:szCs w:val="17"/>
      </w:rPr>
      <w:t>1</w:t>
    </w:r>
    <w:r w:rsidRPr="000458C6">
      <w:rPr>
        <w:rFonts w:ascii="Verdana" w:hAnsi="Verdana"/>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D2C" w:rsidRDefault="00942D2C" w:rsidP="00942D2C">
      <w:pPr>
        <w:spacing w:after="0" w:line="240" w:lineRule="auto"/>
      </w:pPr>
      <w:r>
        <w:separator/>
      </w:r>
    </w:p>
  </w:footnote>
  <w:footnote w:type="continuationSeparator" w:id="0">
    <w:p w:rsidR="00942D2C" w:rsidRDefault="00942D2C" w:rsidP="00942D2C">
      <w:pPr>
        <w:spacing w:after="0" w:line="240" w:lineRule="auto"/>
      </w:pPr>
      <w:r>
        <w:continuationSeparator/>
      </w:r>
    </w:p>
  </w:footnote>
  <w:footnote w:id="1">
    <w:p w:rsidR="000C49BD" w:rsidRPr="005A407C" w:rsidRDefault="000C49BD" w:rsidP="001C2D3D">
      <w:pPr>
        <w:pStyle w:val="Testonotaapidipagina"/>
        <w:spacing w:line="276" w:lineRule="auto"/>
        <w:jc w:val="both"/>
        <w:rPr>
          <w:rFonts w:ascii="Verdana" w:hAnsi="Verdana"/>
          <w:sz w:val="16"/>
          <w:szCs w:val="16"/>
        </w:rPr>
      </w:pPr>
      <w:r w:rsidRPr="005A407C">
        <w:rPr>
          <w:rStyle w:val="Rimandonotaapidipagina"/>
          <w:rFonts w:ascii="Verdana" w:hAnsi="Verdana"/>
          <w:sz w:val="16"/>
          <w:szCs w:val="16"/>
        </w:rPr>
        <w:footnoteRef/>
      </w:r>
      <w:r w:rsidRPr="005A407C">
        <w:rPr>
          <w:rFonts w:ascii="Verdana" w:hAnsi="Verdana"/>
          <w:sz w:val="16"/>
          <w:szCs w:val="16"/>
        </w:rPr>
        <w:t xml:space="preserve"> Selezione delle parti della legge in materia elettorale.</w:t>
      </w:r>
    </w:p>
  </w:footnote>
  <w:footnote w:id="2">
    <w:p w:rsidR="0064310E" w:rsidRPr="0064310E" w:rsidRDefault="0064310E" w:rsidP="001C2D3D">
      <w:pPr>
        <w:pStyle w:val="Testonotaapidipagina"/>
        <w:spacing w:line="276" w:lineRule="auto"/>
        <w:jc w:val="both"/>
        <w:rPr>
          <w:rFonts w:ascii="Verdana" w:hAnsi="Verdana"/>
          <w:sz w:val="16"/>
          <w:szCs w:val="16"/>
        </w:rPr>
      </w:pPr>
      <w:r w:rsidRPr="0064310E">
        <w:rPr>
          <w:rStyle w:val="Rimandonotaapidipagina"/>
          <w:rFonts w:ascii="Verdana" w:hAnsi="Verdana"/>
          <w:sz w:val="16"/>
          <w:szCs w:val="16"/>
        </w:rPr>
        <w:footnoteRef/>
      </w:r>
      <w:r w:rsidRPr="0064310E">
        <w:rPr>
          <w:rFonts w:ascii="Verdana" w:hAnsi="Verdana"/>
          <w:sz w:val="16"/>
          <w:szCs w:val="16"/>
        </w:rPr>
        <w:t xml:space="preserve"> </w:t>
      </w:r>
      <w:r w:rsidRPr="0064310E">
        <w:rPr>
          <w:rFonts w:ascii="Verdana" w:hAnsi="Verdana"/>
          <w:color w:val="000000"/>
          <w:sz w:val="16"/>
          <w:szCs w:val="16"/>
        </w:rPr>
        <w:t xml:space="preserve">Il D.L. 6 marzo 2014, n. 16, convertito con modificazioni dalla L. 2 maggio 2014, n. 68, ha disposto (con l'art. 9, comma 1) che "A decorrere dall'anno 2014, l'ammontare delle riduzioni di risorse di cui al comma 183 dell'articolo 2 della legge 23 dicembre 2009 n. 191 </w:t>
      </w:r>
      <w:r>
        <w:rPr>
          <w:rFonts w:ascii="Verdana" w:hAnsi="Verdana"/>
          <w:color w:val="000000"/>
          <w:sz w:val="16"/>
          <w:szCs w:val="16"/>
        </w:rPr>
        <w:t>è</w:t>
      </w:r>
      <w:r w:rsidRPr="0064310E">
        <w:rPr>
          <w:rFonts w:ascii="Verdana" w:hAnsi="Verdana"/>
          <w:color w:val="000000"/>
          <w:sz w:val="16"/>
          <w:szCs w:val="16"/>
        </w:rPr>
        <w:t xml:space="preserve"> fissato in 7 milioni di euro per le province e in 118 milioni di euro per i comuni, da applicarsi, a tutti gli enti, in proporzione alla popolazione residente".</w:t>
      </w:r>
      <w:bookmarkStart w:id="0" w:name="_GoBack"/>
      <w:bookmarkEnd w:id="0"/>
    </w:p>
  </w:footnote>
  <w:footnote w:id="3">
    <w:p w:rsidR="0064310E" w:rsidRPr="003212EE" w:rsidRDefault="0064310E" w:rsidP="001C2D3D">
      <w:pPr>
        <w:pStyle w:val="Testonotaapidipagina"/>
        <w:spacing w:line="276" w:lineRule="auto"/>
        <w:jc w:val="both"/>
        <w:rPr>
          <w:rFonts w:ascii="Verdana" w:hAnsi="Verdana"/>
          <w:sz w:val="16"/>
          <w:szCs w:val="16"/>
        </w:rPr>
      </w:pPr>
      <w:r w:rsidRPr="003212EE">
        <w:rPr>
          <w:rStyle w:val="Rimandonotaapidipagina"/>
          <w:rFonts w:ascii="Verdana" w:hAnsi="Verdana"/>
          <w:sz w:val="16"/>
          <w:szCs w:val="16"/>
        </w:rPr>
        <w:footnoteRef/>
      </w:r>
      <w:r w:rsidRPr="003212EE">
        <w:rPr>
          <w:rFonts w:ascii="Verdana" w:hAnsi="Verdana"/>
          <w:sz w:val="16"/>
          <w:szCs w:val="16"/>
        </w:rPr>
        <w:t xml:space="preserve"> </w:t>
      </w:r>
      <w:r w:rsidRPr="003212EE">
        <w:rPr>
          <w:rFonts w:ascii="Verdana" w:hAnsi="Verdana"/>
          <w:color w:val="000000"/>
          <w:sz w:val="16"/>
          <w:szCs w:val="16"/>
        </w:rPr>
        <w:t xml:space="preserve">Il D.L. 25 gennaio 2010, n. 2, convertito con modificazioni dalla L. 26 marzo 2010, n. 42, ha disposto: - (con l'art. 1, comma 2) che "Le disposizioni di cui ai commi 184 e 186, lettere </w:t>
      </w:r>
      <w:r w:rsidRPr="003212EE">
        <w:rPr>
          <w:rFonts w:ascii="Verdana" w:hAnsi="Verdana"/>
          <w:i/>
          <w:color w:val="000000"/>
          <w:sz w:val="16"/>
          <w:szCs w:val="16"/>
        </w:rPr>
        <w:t>b)</w:t>
      </w:r>
      <w:r w:rsidRPr="003212EE">
        <w:rPr>
          <w:rFonts w:ascii="Verdana" w:hAnsi="Verdana"/>
          <w:color w:val="000000"/>
          <w:sz w:val="16"/>
          <w:szCs w:val="16"/>
        </w:rPr>
        <w:t xml:space="preserve">, </w:t>
      </w:r>
      <w:r w:rsidRPr="003212EE">
        <w:rPr>
          <w:rFonts w:ascii="Verdana" w:hAnsi="Verdana"/>
          <w:i/>
          <w:color w:val="000000"/>
          <w:sz w:val="16"/>
          <w:szCs w:val="16"/>
        </w:rPr>
        <w:t>c)</w:t>
      </w:r>
      <w:r w:rsidRPr="003212EE">
        <w:rPr>
          <w:rFonts w:ascii="Verdana" w:hAnsi="Verdana"/>
          <w:color w:val="000000"/>
          <w:sz w:val="16"/>
          <w:szCs w:val="16"/>
        </w:rPr>
        <w:t xml:space="preserve"> ed </w:t>
      </w:r>
      <w:r w:rsidRPr="003212EE">
        <w:rPr>
          <w:rFonts w:ascii="Verdana" w:hAnsi="Verdana"/>
          <w:i/>
          <w:color w:val="000000"/>
          <w:sz w:val="16"/>
          <w:szCs w:val="16"/>
        </w:rPr>
        <w:t>e)</w:t>
      </w:r>
      <w:r w:rsidRPr="003212EE">
        <w:rPr>
          <w:rFonts w:ascii="Verdana" w:hAnsi="Verdana"/>
          <w:color w:val="000000"/>
          <w:sz w:val="16"/>
          <w:szCs w:val="16"/>
        </w:rPr>
        <w:t xml:space="preserve">, dell'articolo 2, della legge 23 dicembre 2009, n. 191, come modificato dal presente articolo, si applicano a decorrere dal 2011, e per tutti gli anni a seguire, ai singoli enti per i quali ha luogo il primo rinnovo del rispettivo consiglio, con efficacia dalla data del medesimo rinnovo. Le disposizioni di cui all'articolo 2, comma 185, della citata legge n. 191 del 2009, come modificato dal presente articolo, si applicano a decorrere dal 2010, e per tutti gli anni a seguire, ai singoli enti per i quali ha luogo il primo rinnovo del rispettivo consiglio, con efficacia dalla data del medesimo rinnovo. Le disposizioni di cui all'articolo 2, comma 186, lettere </w:t>
      </w:r>
      <w:r w:rsidRPr="003212EE">
        <w:rPr>
          <w:rFonts w:ascii="Verdana" w:hAnsi="Verdana"/>
          <w:i/>
          <w:color w:val="000000"/>
          <w:sz w:val="16"/>
          <w:szCs w:val="16"/>
        </w:rPr>
        <w:t>a)</w:t>
      </w:r>
      <w:r w:rsidRPr="003212EE">
        <w:rPr>
          <w:rFonts w:ascii="Verdana" w:hAnsi="Verdana"/>
          <w:color w:val="000000"/>
          <w:sz w:val="16"/>
          <w:szCs w:val="16"/>
        </w:rPr>
        <w:t xml:space="preserve"> e </w:t>
      </w:r>
      <w:r w:rsidRPr="003212EE">
        <w:rPr>
          <w:rFonts w:ascii="Verdana" w:hAnsi="Verdana"/>
          <w:i/>
          <w:color w:val="000000"/>
          <w:sz w:val="16"/>
          <w:szCs w:val="16"/>
        </w:rPr>
        <w:t>d)</w:t>
      </w:r>
      <w:r w:rsidRPr="003212EE">
        <w:rPr>
          <w:rFonts w:ascii="Verdana" w:hAnsi="Verdana"/>
          <w:color w:val="000000"/>
          <w:sz w:val="16"/>
          <w:szCs w:val="16"/>
        </w:rPr>
        <w:t>, della medesima legge n.</w:t>
      </w:r>
      <w:r w:rsidR="00737ED3">
        <w:rPr>
          <w:rFonts w:ascii="Verdana" w:hAnsi="Verdana"/>
          <w:color w:val="000000"/>
          <w:sz w:val="16"/>
          <w:szCs w:val="16"/>
        </w:rPr>
        <w:t xml:space="preserve"> </w:t>
      </w:r>
      <w:r w:rsidRPr="003212EE">
        <w:rPr>
          <w:rFonts w:ascii="Verdana" w:hAnsi="Verdana"/>
          <w:color w:val="000000"/>
          <w:sz w:val="16"/>
          <w:szCs w:val="16"/>
        </w:rPr>
        <w:t xml:space="preserve">191 del 2009, come modificato dal presente articolo, si applicano, in ogni comune interessato, dalla data di scadenza dei singoli incarichi dei difensori civici e dei direttori generali in essere alla data di entrata in vigore della legge di conversione del presente decreto". - (con l'art. 2, comma 1) che "Entro il 30 novembre 2010 </w:t>
      </w:r>
      <w:r>
        <w:rPr>
          <w:rFonts w:ascii="Verdana" w:hAnsi="Verdana"/>
          <w:color w:val="000000"/>
          <w:sz w:val="16"/>
          <w:szCs w:val="16"/>
        </w:rPr>
        <w:t>è</w:t>
      </w:r>
      <w:r w:rsidRPr="003212EE">
        <w:rPr>
          <w:rFonts w:ascii="Verdana" w:hAnsi="Verdana"/>
          <w:color w:val="000000"/>
          <w:sz w:val="16"/>
          <w:szCs w:val="16"/>
        </w:rPr>
        <w:t xml:space="preserve"> ridefinita la tabella delle circoscrizioni dei collegi ai sensi dell'articolo 9 della legge 8 marzo 1951, n. 122, e successive modificazioni, ai fini del rinnovo dei consigli provinciali che ha luogo a decorrere dal 2011. La riduzione del numero dei consiglieri provinciali di cui al comma 184 dell'articolo 2 della legge 23 dicembre 2009, n. 191, come modificato dall'articolo 1, </w:t>
      </w:r>
      <w:r>
        <w:rPr>
          <w:rFonts w:ascii="Verdana" w:hAnsi="Verdana"/>
          <w:color w:val="000000"/>
          <w:sz w:val="16"/>
          <w:szCs w:val="16"/>
        </w:rPr>
        <w:t>è</w:t>
      </w:r>
      <w:r w:rsidRPr="003212EE">
        <w:rPr>
          <w:rFonts w:ascii="Verdana" w:hAnsi="Verdana"/>
          <w:color w:val="000000"/>
          <w:sz w:val="16"/>
          <w:szCs w:val="16"/>
        </w:rPr>
        <w:t xml:space="preserve"> efficace anche in caso di mancata ridefinizione della tabella".</w:t>
      </w:r>
    </w:p>
  </w:footnote>
  <w:footnote w:id="4">
    <w:p w:rsidR="003212EE" w:rsidRPr="003212EE" w:rsidRDefault="003212EE" w:rsidP="001C2D3D">
      <w:pPr>
        <w:pStyle w:val="Testonotaapidipagina"/>
        <w:spacing w:line="276" w:lineRule="auto"/>
        <w:jc w:val="both"/>
        <w:rPr>
          <w:rFonts w:ascii="Verdana" w:hAnsi="Verdana"/>
          <w:sz w:val="16"/>
          <w:szCs w:val="16"/>
        </w:rPr>
      </w:pPr>
      <w:r w:rsidRPr="003212EE">
        <w:rPr>
          <w:rStyle w:val="Rimandonotaapidipagina"/>
          <w:rFonts w:ascii="Verdana" w:hAnsi="Verdana"/>
          <w:sz w:val="16"/>
          <w:szCs w:val="16"/>
        </w:rPr>
        <w:footnoteRef/>
      </w:r>
      <w:r w:rsidRPr="003212EE">
        <w:rPr>
          <w:rFonts w:ascii="Verdana" w:hAnsi="Verdana"/>
          <w:sz w:val="16"/>
          <w:szCs w:val="16"/>
        </w:rPr>
        <w:t xml:space="preserve"> </w:t>
      </w:r>
      <w:r w:rsidR="0064310E">
        <w:rPr>
          <w:rFonts w:ascii="Verdana" w:hAnsi="Verdana"/>
          <w:color w:val="000000"/>
          <w:sz w:val="16"/>
          <w:szCs w:val="16"/>
        </w:rPr>
        <w:t>Ibidem.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505"/>
      <w:gridCol w:w="5108"/>
    </w:tblGrid>
    <w:tr w:rsidR="003212EE" w:rsidTr="00D26EAA">
      <w:tc>
        <w:tcPr>
          <w:tcW w:w="3505" w:type="dxa"/>
          <w:shd w:val="clear" w:color="auto" w:fill="auto"/>
          <w:vAlign w:val="center"/>
        </w:tcPr>
        <w:p w:rsidR="003212EE" w:rsidRPr="00A47199" w:rsidRDefault="003212EE" w:rsidP="00D26EAA">
          <w:pPr>
            <w:rPr>
              <w:rFonts w:ascii="Verdana" w:hAnsi="Verdana"/>
              <w:b/>
              <w:noProof/>
              <w:sz w:val="26"/>
              <w:szCs w:val="26"/>
              <w:lang w:eastAsia="it-IT"/>
            </w:rPr>
          </w:pPr>
          <w:r>
            <w:rPr>
              <w:rFonts w:ascii="Verdana" w:hAnsi="Verdana"/>
              <w:b/>
              <w:noProof/>
              <w:sz w:val="26"/>
              <w:szCs w:val="26"/>
              <w:lang w:eastAsia="it-IT"/>
            </w:rPr>
            <w:drawing>
              <wp:inline distT="0" distB="0" distL="0" distR="0" wp14:anchorId="2B01431C" wp14:editId="6A785F69">
                <wp:extent cx="2042160" cy="40386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403860"/>
                        </a:xfrm>
                        <a:prstGeom prst="rect">
                          <a:avLst/>
                        </a:prstGeom>
                        <a:noFill/>
                        <a:ln>
                          <a:noFill/>
                        </a:ln>
                      </pic:spPr>
                    </pic:pic>
                  </a:graphicData>
                </a:graphic>
              </wp:inline>
            </w:drawing>
          </w:r>
        </w:p>
      </w:tc>
      <w:tc>
        <w:tcPr>
          <w:tcW w:w="5108" w:type="dxa"/>
          <w:shd w:val="clear" w:color="auto" w:fill="auto"/>
          <w:vAlign w:val="center"/>
        </w:tcPr>
        <w:p w:rsidR="003212EE" w:rsidRPr="00A47199" w:rsidRDefault="003212EE" w:rsidP="00D26EAA">
          <w:pPr>
            <w:jc w:val="right"/>
            <w:rPr>
              <w:rFonts w:ascii="Verdana" w:hAnsi="Verdana"/>
              <w:b/>
              <w:noProof/>
              <w:sz w:val="26"/>
              <w:szCs w:val="26"/>
              <w:lang w:eastAsia="it-IT"/>
            </w:rPr>
          </w:pPr>
          <w:r>
            <w:rPr>
              <w:rFonts w:ascii="Verdana" w:hAnsi="Verdana"/>
              <w:b/>
              <w:noProof/>
              <w:sz w:val="26"/>
              <w:szCs w:val="26"/>
              <w:lang w:eastAsia="it-IT"/>
            </w:rPr>
            <w:drawing>
              <wp:inline distT="0" distB="0" distL="0" distR="0" wp14:anchorId="26F141F9" wp14:editId="107CA67B">
                <wp:extent cx="739140" cy="624840"/>
                <wp:effectExtent l="0" t="0" r="3810" b="381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140" cy="624840"/>
                        </a:xfrm>
                        <a:prstGeom prst="rect">
                          <a:avLst/>
                        </a:prstGeom>
                        <a:noFill/>
                        <a:ln>
                          <a:noFill/>
                        </a:ln>
                      </pic:spPr>
                    </pic:pic>
                  </a:graphicData>
                </a:graphic>
              </wp:inline>
            </w:drawing>
          </w:r>
        </w:p>
      </w:tc>
    </w:tr>
  </w:tbl>
  <w:p w:rsidR="003212EE" w:rsidRDefault="003212E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2C"/>
    <w:rsid w:val="000458C6"/>
    <w:rsid w:val="000C49BD"/>
    <w:rsid w:val="001C2D3D"/>
    <w:rsid w:val="001D01D2"/>
    <w:rsid w:val="00202AC7"/>
    <w:rsid w:val="003212EE"/>
    <w:rsid w:val="005A407C"/>
    <w:rsid w:val="0064310E"/>
    <w:rsid w:val="00737ED3"/>
    <w:rsid w:val="009226FD"/>
    <w:rsid w:val="00942D2C"/>
    <w:rsid w:val="009A3353"/>
    <w:rsid w:val="00AC7EAC"/>
    <w:rsid w:val="00D85C1C"/>
    <w:rsid w:val="00E72BD9"/>
    <w:rsid w:val="00E776FB"/>
    <w:rsid w:val="00E84F39"/>
    <w:rsid w:val="00EB4A53"/>
    <w:rsid w:val="00FD78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9A3353"/>
    <w:pPr>
      <w:spacing w:before="6000" w:after="240" w:line="240" w:lineRule="auto"/>
      <w:outlineLvl w:val="0"/>
    </w:pPr>
    <w:rPr>
      <w:b/>
      <w:bCs/>
      <w:sz w:val="52"/>
      <w:szCs w:val="52"/>
    </w:rPr>
  </w:style>
  <w:style w:type="paragraph" w:styleId="Titolo2">
    <w:name w:val="heading 2"/>
    <w:basedOn w:val="Normale"/>
    <w:next w:val="Normale"/>
    <w:link w:val="Titolo2Carattere"/>
    <w:uiPriority w:val="99"/>
    <w:qFormat/>
    <w:rsid w:val="009A3353"/>
    <w:pPr>
      <w:spacing w:after="240" w:line="240" w:lineRule="auto"/>
      <w:jc w:val="both"/>
      <w:outlineLvl w:val="1"/>
    </w:pPr>
    <w:rPr>
      <w:b/>
      <w:bCs/>
      <w:sz w:val="28"/>
      <w:szCs w:val="28"/>
    </w:rPr>
  </w:style>
  <w:style w:type="paragraph" w:styleId="Titolo3">
    <w:name w:val="heading 3"/>
    <w:basedOn w:val="Normale"/>
    <w:next w:val="Normale"/>
    <w:link w:val="Titolo3Carattere"/>
    <w:uiPriority w:val="99"/>
    <w:qFormat/>
    <w:rsid w:val="009A3353"/>
    <w:pPr>
      <w:keepNext/>
      <w:spacing w:before="320" w:after="240" w:line="240" w:lineRule="auto"/>
      <w:jc w:val="both"/>
      <w:outlineLvl w:val="2"/>
    </w:pPr>
    <w:rPr>
      <w:b/>
      <w:bCs/>
      <w:sz w:val="24"/>
      <w:szCs w:val="24"/>
    </w:rPr>
  </w:style>
  <w:style w:type="paragraph" w:styleId="Titolo4">
    <w:name w:val="heading 4"/>
    <w:basedOn w:val="Normale"/>
    <w:next w:val="Normale"/>
    <w:link w:val="Titolo4Carattere"/>
    <w:uiPriority w:val="99"/>
    <w:qFormat/>
    <w:rsid w:val="009A3353"/>
    <w:pPr>
      <w:keepNext/>
      <w:spacing w:before="320" w:after="240" w:line="240" w:lineRule="auto"/>
      <w:jc w:val="both"/>
      <w:outlineLvl w:val="3"/>
    </w:pPr>
    <w:rPr>
      <w:b/>
      <w:i/>
      <w:iCs/>
      <w:sz w:val="24"/>
      <w:szCs w:val="24"/>
    </w:rPr>
  </w:style>
  <w:style w:type="paragraph" w:styleId="Titolo5">
    <w:name w:val="heading 5"/>
    <w:basedOn w:val="Titolo4"/>
    <w:next w:val="Normale"/>
    <w:link w:val="Titolo5Carattere"/>
    <w:uiPriority w:val="99"/>
    <w:qFormat/>
    <w:rsid w:val="009A3353"/>
    <w:pPr>
      <w:outlineLvl w:val="4"/>
    </w:pPr>
    <w:rPr>
      <w:b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9A3353"/>
    <w:rPr>
      <w:b/>
      <w:bCs/>
      <w:sz w:val="24"/>
      <w:szCs w:val="24"/>
    </w:rPr>
  </w:style>
  <w:style w:type="character" w:customStyle="1" w:styleId="Titolo5Carattere">
    <w:name w:val="Titolo 5 Carattere"/>
    <w:basedOn w:val="Carpredefinitoparagrafo"/>
    <w:link w:val="Titolo5"/>
    <w:uiPriority w:val="99"/>
    <w:rsid w:val="009A3353"/>
    <w:rPr>
      <w:i/>
      <w:iCs/>
      <w:sz w:val="24"/>
      <w:szCs w:val="24"/>
    </w:rPr>
  </w:style>
  <w:style w:type="paragraph" w:styleId="Intestazione">
    <w:name w:val="header"/>
    <w:basedOn w:val="Normale"/>
    <w:link w:val="IntestazioneCarattere"/>
    <w:uiPriority w:val="99"/>
    <w:semiHidden/>
    <w:qFormat/>
    <w:rsid w:val="00E72BD9"/>
    <w:pPr>
      <w:tabs>
        <w:tab w:val="center" w:pos="4819"/>
        <w:tab w:val="right" w:pos="9638"/>
      </w:tabs>
      <w:spacing w:after="60" w:line="240" w:lineRule="auto"/>
      <w:jc w:val="both"/>
    </w:pPr>
    <w:rPr>
      <w:i/>
      <w:sz w:val="18"/>
    </w:rPr>
  </w:style>
  <w:style w:type="character" w:customStyle="1" w:styleId="IntestazioneCarattere">
    <w:name w:val="Intestazione Carattere"/>
    <w:basedOn w:val="Carpredefinitoparagrafo"/>
    <w:link w:val="Intestazione"/>
    <w:uiPriority w:val="99"/>
    <w:semiHidden/>
    <w:rsid w:val="00E72BD9"/>
    <w:rPr>
      <w:rFonts w:ascii="Arial" w:hAnsi="Arial" w:cs="Arial"/>
      <w:i/>
      <w:sz w:val="18"/>
    </w:rPr>
  </w:style>
  <w:style w:type="paragraph" w:styleId="Pidipagina">
    <w:name w:val="footer"/>
    <w:basedOn w:val="Normale"/>
    <w:link w:val="PidipaginaCarattere"/>
    <w:uiPriority w:val="99"/>
    <w:semiHidden/>
    <w:qFormat/>
    <w:rsid w:val="00E72BD9"/>
    <w:pPr>
      <w:tabs>
        <w:tab w:val="center" w:pos="4819"/>
        <w:tab w:val="right" w:pos="9638"/>
      </w:tabs>
      <w:spacing w:after="60" w:line="240" w:lineRule="auto"/>
      <w:jc w:val="both"/>
    </w:pPr>
    <w:rPr>
      <w:i/>
      <w:iCs/>
      <w:sz w:val="18"/>
      <w:szCs w:val="16"/>
    </w:rPr>
  </w:style>
  <w:style w:type="character" w:customStyle="1" w:styleId="PidipaginaCarattere">
    <w:name w:val="Piè di pagina Carattere"/>
    <w:basedOn w:val="Carpredefinitoparagrafo"/>
    <w:link w:val="Pidipagina"/>
    <w:uiPriority w:val="99"/>
    <w:semiHidden/>
    <w:rsid w:val="00E72BD9"/>
    <w:rPr>
      <w:rFonts w:ascii="Arial" w:hAnsi="Arial" w:cs="Arial"/>
      <w:i/>
      <w:iCs/>
      <w:sz w:val="18"/>
      <w:szCs w:val="16"/>
    </w:rPr>
  </w:style>
  <w:style w:type="character" w:customStyle="1" w:styleId="Titolo1Carattere">
    <w:name w:val="Titolo 1 Carattere"/>
    <w:basedOn w:val="Carpredefinitoparagrafo"/>
    <w:link w:val="Titolo1"/>
    <w:uiPriority w:val="99"/>
    <w:rsid w:val="009A3353"/>
    <w:rPr>
      <w:b/>
      <w:bCs/>
      <w:sz w:val="52"/>
      <w:szCs w:val="52"/>
    </w:rPr>
  </w:style>
  <w:style w:type="character" w:customStyle="1" w:styleId="Titolo2Carattere">
    <w:name w:val="Titolo 2 Carattere"/>
    <w:basedOn w:val="Carpredefinitoparagrafo"/>
    <w:link w:val="Titolo2"/>
    <w:uiPriority w:val="99"/>
    <w:rsid w:val="009A3353"/>
    <w:rPr>
      <w:b/>
      <w:bCs/>
      <w:sz w:val="28"/>
      <w:szCs w:val="28"/>
    </w:rPr>
  </w:style>
  <w:style w:type="character" w:customStyle="1" w:styleId="Titolo4Carattere">
    <w:name w:val="Titolo 4 Carattere"/>
    <w:basedOn w:val="Carpredefinitoparagrafo"/>
    <w:link w:val="Titolo4"/>
    <w:uiPriority w:val="99"/>
    <w:rsid w:val="009A3353"/>
    <w:rPr>
      <w:b/>
      <w:i/>
      <w:iCs/>
      <w:sz w:val="24"/>
      <w:szCs w:val="24"/>
    </w:rPr>
  </w:style>
  <w:style w:type="paragraph" w:customStyle="1" w:styleId="testonoteapidipagina">
    <w:name w:val="testo note a piè di pagina"/>
    <w:basedOn w:val="Normale"/>
    <w:link w:val="testonoteapidipaginaCarattere"/>
    <w:uiPriority w:val="99"/>
    <w:qFormat/>
    <w:rsid w:val="009A3353"/>
    <w:pPr>
      <w:spacing w:after="60" w:line="240" w:lineRule="auto"/>
      <w:jc w:val="both"/>
    </w:pPr>
    <w:rPr>
      <w:i/>
      <w:iCs/>
      <w:color w:val="505050"/>
      <w:sz w:val="18"/>
      <w:szCs w:val="18"/>
    </w:rPr>
  </w:style>
  <w:style w:type="character" w:customStyle="1" w:styleId="testonoteapidipaginaCarattere">
    <w:name w:val="testo note a piè di pagina Carattere"/>
    <w:basedOn w:val="Carpredefinitoparagrafo"/>
    <w:link w:val="testonoteapidipagina"/>
    <w:uiPriority w:val="99"/>
    <w:rsid w:val="009A3353"/>
    <w:rPr>
      <w:i/>
      <w:iCs/>
      <w:color w:val="505050"/>
      <w:sz w:val="18"/>
      <w:szCs w:val="18"/>
    </w:rPr>
  </w:style>
  <w:style w:type="paragraph" w:styleId="Testonotaapidipagina">
    <w:name w:val="footnote text"/>
    <w:basedOn w:val="Normale"/>
    <w:link w:val="TestonotaapidipaginaCarattere"/>
    <w:uiPriority w:val="99"/>
    <w:semiHidden/>
    <w:unhideWhenUsed/>
    <w:rsid w:val="00942D2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42D2C"/>
    <w:rPr>
      <w:sz w:val="20"/>
      <w:szCs w:val="20"/>
    </w:rPr>
  </w:style>
  <w:style w:type="character" w:styleId="Rimandonotaapidipagina">
    <w:name w:val="footnote reference"/>
    <w:basedOn w:val="Carpredefinitoparagrafo"/>
    <w:uiPriority w:val="99"/>
    <w:semiHidden/>
    <w:unhideWhenUsed/>
    <w:rsid w:val="00942D2C"/>
    <w:rPr>
      <w:vertAlign w:val="superscript"/>
    </w:rPr>
  </w:style>
  <w:style w:type="paragraph" w:styleId="Testofumetto">
    <w:name w:val="Balloon Text"/>
    <w:basedOn w:val="Normale"/>
    <w:link w:val="TestofumettoCarattere"/>
    <w:uiPriority w:val="99"/>
    <w:semiHidden/>
    <w:unhideWhenUsed/>
    <w:rsid w:val="003212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12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9A3353"/>
    <w:pPr>
      <w:spacing w:before="6000" w:after="240" w:line="240" w:lineRule="auto"/>
      <w:outlineLvl w:val="0"/>
    </w:pPr>
    <w:rPr>
      <w:b/>
      <w:bCs/>
      <w:sz w:val="52"/>
      <w:szCs w:val="52"/>
    </w:rPr>
  </w:style>
  <w:style w:type="paragraph" w:styleId="Titolo2">
    <w:name w:val="heading 2"/>
    <w:basedOn w:val="Normale"/>
    <w:next w:val="Normale"/>
    <w:link w:val="Titolo2Carattere"/>
    <w:uiPriority w:val="99"/>
    <w:qFormat/>
    <w:rsid w:val="009A3353"/>
    <w:pPr>
      <w:spacing w:after="240" w:line="240" w:lineRule="auto"/>
      <w:jc w:val="both"/>
      <w:outlineLvl w:val="1"/>
    </w:pPr>
    <w:rPr>
      <w:b/>
      <w:bCs/>
      <w:sz w:val="28"/>
      <w:szCs w:val="28"/>
    </w:rPr>
  </w:style>
  <w:style w:type="paragraph" w:styleId="Titolo3">
    <w:name w:val="heading 3"/>
    <w:basedOn w:val="Normale"/>
    <w:next w:val="Normale"/>
    <w:link w:val="Titolo3Carattere"/>
    <w:uiPriority w:val="99"/>
    <w:qFormat/>
    <w:rsid w:val="009A3353"/>
    <w:pPr>
      <w:keepNext/>
      <w:spacing w:before="320" w:after="240" w:line="240" w:lineRule="auto"/>
      <w:jc w:val="both"/>
      <w:outlineLvl w:val="2"/>
    </w:pPr>
    <w:rPr>
      <w:b/>
      <w:bCs/>
      <w:sz w:val="24"/>
      <w:szCs w:val="24"/>
    </w:rPr>
  </w:style>
  <w:style w:type="paragraph" w:styleId="Titolo4">
    <w:name w:val="heading 4"/>
    <w:basedOn w:val="Normale"/>
    <w:next w:val="Normale"/>
    <w:link w:val="Titolo4Carattere"/>
    <w:uiPriority w:val="99"/>
    <w:qFormat/>
    <w:rsid w:val="009A3353"/>
    <w:pPr>
      <w:keepNext/>
      <w:spacing w:before="320" w:after="240" w:line="240" w:lineRule="auto"/>
      <w:jc w:val="both"/>
      <w:outlineLvl w:val="3"/>
    </w:pPr>
    <w:rPr>
      <w:b/>
      <w:i/>
      <w:iCs/>
      <w:sz w:val="24"/>
      <w:szCs w:val="24"/>
    </w:rPr>
  </w:style>
  <w:style w:type="paragraph" w:styleId="Titolo5">
    <w:name w:val="heading 5"/>
    <w:basedOn w:val="Titolo4"/>
    <w:next w:val="Normale"/>
    <w:link w:val="Titolo5Carattere"/>
    <w:uiPriority w:val="99"/>
    <w:qFormat/>
    <w:rsid w:val="009A3353"/>
    <w:pPr>
      <w:outlineLvl w:val="4"/>
    </w:pPr>
    <w:rPr>
      <w:b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9A3353"/>
    <w:rPr>
      <w:b/>
      <w:bCs/>
      <w:sz w:val="24"/>
      <w:szCs w:val="24"/>
    </w:rPr>
  </w:style>
  <w:style w:type="character" w:customStyle="1" w:styleId="Titolo5Carattere">
    <w:name w:val="Titolo 5 Carattere"/>
    <w:basedOn w:val="Carpredefinitoparagrafo"/>
    <w:link w:val="Titolo5"/>
    <w:uiPriority w:val="99"/>
    <w:rsid w:val="009A3353"/>
    <w:rPr>
      <w:i/>
      <w:iCs/>
      <w:sz w:val="24"/>
      <w:szCs w:val="24"/>
    </w:rPr>
  </w:style>
  <w:style w:type="paragraph" w:styleId="Intestazione">
    <w:name w:val="header"/>
    <w:basedOn w:val="Normale"/>
    <w:link w:val="IntestazioneCarattere"/>
    <w:uiPriority w:val="99"/>
    <w:semiHidden/>
    <w:qFormat/>
    <w:rsid w:val="00E72BD9"/>
    <w:pPr>
      <w:tabs>
        <w:tab w:val="center" w:pos="4819"/>
        <w:tab w:val="right" w:pos="9638"/>
      </w:tabs>
      <w:spacing w:after="60" w:line="240" w:lineRule="auto"/>
      <w:jc w:val="both"/>
    </w:pPr>
    <w:rPr>
      <w:i/>
      <w:sz w:val="18"/>
    </w:rPr>
  </w:style>
  <w:style w:type="character" w:customStyle="1" w:styleId="IntestazioneCarattere">
    <w:name w:val="Intestazione Carattere"/>
    <w:basedOn w:val="Carpredefinitoparagrafo"/>
    <w:link w:val="Intestazione"/>
    <w:uiPriority w:val="99"/>
    <w:semiHidden/>
    <w:rsid w:val="00E72BD9"/>
    <w:rPr>
      <w:rFonts w:ascii="Arial" w:hAnsi="Arial" w:cs="Arial"/>
      <w:i/>
      <w:sz w:val="18"/>
    </w:rPr>
  </w:style>
  <w:style w:type="paragraph" w:styleId="Pidipagina">
    <w:name w:val="footer"/>
    <w:basedOn w:val="Normale"/>
    <w:link w:val="PidipaginaCarattere"/>
    <w:uiPriority w:val="99"/>
    <w:semiHidden/>
    <w:qFormat/>
    <w:rsid w:val="00E72BD9"/>
    <w:pPr>
      <w:tabs>
        <w:tab w:val="center" w:pos="4819"/>
        <w:tab w:val="right" w:pos="9638"/>
      </w:tabs>
      <w:spacing w:after="60" w:line="240" w:lineRule="auto"/>
      <w:jc w:val="both"/>
    </w:pPr>
    <w:rPr>
      <w:i/>
      <w:iCs/>
      <w:sz w:val="18"/>
      <w:szCs w:val="16"/>
    </w:rPr>
  </w:style>
  <w:style w:type="character" w:customStyle="1" w:styleId="PidipaginaCarattere">
    <w:name w:val="Piè di pagina Carattere"/>
    <w:basedOn w:val="Carpredefinitoparagrafo"/>
    <w:link w:val="Pidipagina"/>
    <w:uiPriority w:val="99"/>
    <w:semiHidden/>
    <w:rsid w:val="00E72BD9"/>
    <w:rPr>
      <w:rFonts w:ascii="Arial" w:hAnsi="Arial" w:cs="Arial"/>
      <w:i/>
      <w:iCs/>
      <w:sz w:val="18"/>
      <w:szCs w:val="16"/>
    </w:rPr>
  </w:style>
  <w:style w:type="character" w:customStyle="1" w:styleId="Titolo1Carattere">
    <w:name w:val="Titolo 1 Carattere"/>
    <w:basedOn w:val="Carpredefinitoparagrafo"/>
    <w:link w:val="Titolo1"/>
    <w:uiPriority w:val="99"/>
    <w:rsid w:val="009A3353"/>
    <w:rPr>
      <w:b/>
      <w:bCs/>
      <w:sz w:val="52"/>
      <w:szCs w:val="52"/>
    </w:rPr>
  </w:style>
  <w:style w:type="character" w:customStyle="1" w:styleId="Titolo2Carattere">
    <w:name w:val="Titolo 2 Carattere"/>
    <w:basedOn w:val="Carpredefinitoparagrafo"/>
    <w:link w:val="Titolo2"/>
    <w:uiPriority w:val="99"/>
    <w:rsid w:val="009A3353"/>
    <w:rPr>
      <w:b/>
      <w:bCs/>
      <w:sz w:val="28"/>
      <w:szCs w:val="28"/>
    </w:rPr>
  </w:style>
  <w:style w:type="character" w:customStyle="1" w:styleId="Titolo4Carattere">
    <w:name w:val="Titolo 4 Carattere"/>
    <w:basedOn w:val="Carpredefinitoparagrafo"/>
    <w:link w:val="Titolo4"/>
    <w:uiPriority w:val="99"/>
    <w:rsid w:val="009A3353"/>
    <w:rPr>
      <w:b/>
      <w:i/>
      <w:iCs/>
      <w:sz w:val="24"/>
      <w:szCs w:val="24"/>
    </w:rPr>
  </w:style>
  <w:style w:type="paragraph" w:customStyle="1" w:styleId="testonoteapidipagina">
    <w:name w:val="testo note a piè di pagina"/>
    <w:basedOn w:val="Normale"/>
    <w:link w:val="testonoteapidipaginaCarattere"/>
    <w:uiPriority w:val="99"/>
    <w:qFormat/>
    <w:rsid w:val="009A3353"/>
    <w:pPr>
      <w:spacing w:after="60" w:line="240" w:lineRule="auto"/>
      <w:jc w:val="both"/>
    </w:pPr>
    <w:rPr>
      <w:i/>
      <w:iCs/>
      <w:color w:val="505050"/>
      <w:sz w:val="18"/>
      <w:szCs w:val="18"/>
    </w:rPr>
  </w:style>
  <w:style w:type="character" w:customStyle="1" w:styleId="testonoteapidipaginaCarattere">
    <w:name w:val="testo note a piè di pagina Carattere"/>
    <w:basedOn w:val="Carpredefinitoparagrafo"/>
    <w:link w:val="testonoteapidipagina"/>
    <w:uiPriority w:val="99"/>
    <w:rsid w:val="009A3353"/>
    <w:rPr>
      <w:i/>
      <w:iCs/>
      <w:color w:val="505050"/>
      <w:sz w:val="18"/>
      <w:szCs w:val="18"/>
    </w:rPr>
  </w:style>
  <w:style w:type="paragraph" w:styleId="Testonotaapidipagina">
    <w:name w:val="footnote text"/>
    <w:basedOn w:val="Normale"/>
    <w:link w:val="TestonotaapidipaginaCarattere"/>
    <w:uiPriority w:val="99"/>
    <w:semiHidden/>
    <w:unhideWhenUsed/>
    <w:rsid w:val="00942D2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42D2C"/>
    <w:rPr>
      <w:sz w:val="20"/>
      <w:szCs w:val="20"/>
    </w:rPr>
  </w:style>
  <w:style w:type="character" w:styleId="Rimandonotaapidipagina">
    <w:name w:val="footnote reference"/>
    <w:basedOn w:val="Carpredefinitoparagrafo"/>
    <w:uiPriority w:val="99"/>
    <w:semiHidden/>
    <w:unhideWhenUsed/>
    <w:rsid w:val="00942D2C"/>
    <w:rPr>
      <w:vertAlign w:val="superscript"/>
    </w:rPr>
  </w:style>
  <w:style w:type="paragraph" w:styleId="Testofumetto">
    <w:name w:val="Balloon Text"/>
    <w:basedOn w:val="Normale"/>
    <w:link w:val="TestofumettoCarattere"/>
    <w:uiPriority w:val="99"/>
    <w:semiHidden/>
    <w:unhideWhenUsed/>
    <w:rsid w:val="003212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12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49810">
      <w:bodyDiv w:val="1"/>
      <w:marLeft w:val="0"/>
      <w:marRight w:val="0"/>
      <w:marTop w:val="0"/>
      <w:marBottom w:val="0"/>
      <w:divBdr>
        <w:top w:val="none" w:sz="0" w:space="0" w:color="auto"/>
        <w:left w:val="none" w:sz="0" w:space="0" w:color="auto"/>
        <w:bottom w:val="none" w:sz="0" w:space="0" w:color="auto"/>
        <w:right w:val="none" w:sz="0" w:space="0" w:color="auto"/>
      </w:divBdr>
    </w:div>
    <w:div w:id="132921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2289E-B509-415F-8CDB-4C21664E6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Menoncello</dc:creator>
  <cp:lastModifiedBy>Serena Menoncello</cp:lastModifiedBy>
  <cp:revision>2</cp:revision>
  <dcterms:created xsi:type="dcterms:W3CDTF">2018-08-24T15:02:00Z</dcterms:created>
  <dcterms:modified xsi:type="dcterms:W3CDTF">2018-08-24T15:02:00Z</dcterms:modified>
</cp:coreProperties>
</file>