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9E" w:rsidRPr="00DC799E" w:rsidRDefault="00DC799E" w:rsidP="00DC799E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DC799E">
        <w:rPr>
          <w:rFonts w:ascii="Verdana" w:hAnsi="Verdana" w:cs="Arial"/>
          <w:b/>
          <w:color w:val="4E3F85"/>
          <w:sz w:val="20"/>
          <w:szCs w:val="20"/>
        </w:rPr>
        <w:t>LEGGE 23 febbraio 1995, n. 43</w:t>
      </w:r>
    </w:p>
    <w:p w:rsidR="00DC799E" w:rsidRPr="00464D22" w:rsidRDefault="00DC799E" w:rsidP="00DC799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64D22">
        <w:rPr>
          <w:rFonts w:ascii="Verdana" w:hAnsi="Verdana"/>
          <w:sz w:val="20"/>
          <w:szCs w:val="20"/>
        </w:rPr>
        <w:t>Nuove norme per la elezione dei consigli delle regioni a statuto ordinario.</w:t>
      </w:r>
    </w:p>
    <w:p w:rsidR="00DC799E" w:rsidRPr="00EC2A03" w:rsidRDefault="00DC799E" w:rsidP="00DC799E">
      <w:pPr>
        <w:tabs>
          <w:tab w:val="left" w:pos="426"/>
        </w:tabs>
        <w:jc w:val="both"/>
        <w:rPr>
          <w:rFonts w:ascii="Verdana" w:hAnsi="Verdana"/>
          <w:sz w:val="12"/>
          <w:szCs w:val="12"/>
        </w:rPr>
      </w:pPr>
    </w:p>
    <w:p w:rsidR="00DC799E" w:rsidRPr="00DC799E" w:rsidRDefault="00DC799E" w:rsidP="00DC799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DC799E" w:rsidRPr="00DC799E" w:rsidRDefault="00DC799E" w:rsidP="00DC799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IL PRESIDENTE DELLA REPUBBLICA</w:t>
      </w:r>
    </w:p>
    <w:p w:rsidR="00DC799E" w:rsidRPr="00DC799E" w:rsidRDefault="00DC799E" w:rsidP="00DC799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PROMULGA</w:t>
      </w:r>
    </w:p>
    <w:p w:rsidR="00DC799E" w:rsidRDefault="00DC799E" w:rsidP="00DC799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la seguente legge:</w:t>
      </w:r>
    </w:p>
    <w:p w:rsidR="00DC799E" w:rsidRPr="00EC2A03" w:rsidRDefault="00DC799E" w:rsidP="00DC799E">
      <w:pPr>
        <w:tabs>
          <w:tab w:val="left" w:pos="426"/>
        </w:tabs>
        <w:jc w:val="center"/>
        <w:rPr>
          <w:rFonts w:ascii="Verdana" w:hAnsi="Verdana"/>
          <w:sz w:val="12"/>
          <w:szCs w:val="12"/>
        </w:rPr>
      </w:pPr>
    </w:p>
    <w:p w:rsidR="00DC799E" w:rsidRPr="00373228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73228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1. 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I consigli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suffragio universale con voto diretto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personale,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eguale,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libero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segreto. 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Quattro quinti dei consiglieri assegnati a ciascuna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eletti sulla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concorrenti,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disposizioni contenute nella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1968,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108,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successive modificazioni. 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Un quinto dei consiglieri assegnati a ciascuna regione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 sistema maggioritario, sulla base di liste regionali concorrenti,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nei modi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seguenti.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presentazione 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è </w:t>
      </w:r>
      <w:r w:rsidRPr="00DC799E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cancelleria della corte d'appello 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capoluogo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termini di cui all'arti</w:t>
      </w:r>
      <w:r w:rsidR="00285B71">
        <w:rPr>
          <w:rFonts w:ascii="Verdana" w:hAnsi="Verdana"/>
          <w:sz w:val="18"/>
          <w:szCs w:val="18"/>
        </w:rPr>
        <w:t>colo 9 della legge 17 febbraio 1</w:t>
      </w:r>
      <w:r w:rsidRPr="00DC799E">
        <w:rPr>
          <w:rFonts w:ascii="Verdana" w:hAnsi="Verdana"/>
          <w:sz w:val="18"/>
          <w:szCs w:val="18"/>
        </w:rPr>
        <w:t>968, n. 108, 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successive modificazioni.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deve, a pena di nullit</w:t>
      </w:r>
      <w:r w:rsidR="00373228">
        <w:rPr>
          <w:rFonts w:ascii="Verdana" w:hAnsi="Verdana"/>
          <w:sz w:val="18"/>
          <w:szCs w:val="18"/>
        </w:rPr>
        <w:t>à</w:t>
      </w:r>
      <w:r w:rsidRPr="00DC799E">
        <w:rPr>
          <w:rFonts w:ascii="Verdana" w:hAnsi="Verdana"/>
          <w:sz w:val="18"/>
          <w:szCs w:val="18"/>
        </w:rPr>
        <w:t>, essere accompagnata dalla dichiarazione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collegamento con almeno un gruppo di liste provinciali presentate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non meno della met</w:t>
      </w:r>
      <w:r w:rsidR="00373228">
        <w:rPr>
          <w:rFonts w:ascii="Verdana" w:hAnsi="Verdana"/>
          <w:sz w:val="18"/>
          <w:szCs w:val="18"/>
        </w:rPr>
        <w:t>à</w:t>
      </w:r>
      <w:r w:rsidRPr="00DC799E">
        <w:rPr>
          <w:rFonts w:ascii="Verdana" w:hAnsi="Verdana"/>
          <w:sz w:val="18"/>
          <w:szCs w:val="18"/>
        </w:rPr>
        <w:t xml:space="preserve"> delle province della regione, con arrotondamento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all'unit</w:t>
      </w:r>
      <w:r w:rsidR="00373228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superiore.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efficace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convergente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analoga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resa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presentazione delle liste provinciali interessate.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 lista 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sottoscritta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elettori pari a quello stabilito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periodo, del decreto legislativo 20 dicembre 1993, n 533. In caso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scioglimento del consiglio regionale che ne anticipi 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oltre centoventi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presente legge, il numero minimo delle sottoscrizioni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previsto,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provinciali, dall'articolo 9, secondo comma, della legge 17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1968 n. 108, e succe</w:t>
      </w:r>
      <w:r w:rsidR="00373228">
        <w:rPr>
          <w:rFonts w:ascii="Verdana" w:hAnsi="Verdana"/>
          <w:sz w:val="18"/>
          <w:szCs w:val="18"/>
        </w:rPr>
        <w:t>ssive modificazioni è</w:t>
      </w:r>
      <w:r w:rsidRPr="00DC799E">
        <w:rPr>
          <w:rFonts w:ascii="Verdana" w:hAnsi="Verdana"/>
          <w:sz w:val="18"/>
          <w:szCs w:val="18"/>
        </w:rPr>
        <w:t xml:space="preserve"> ridotto alla met</w:t>
      </w:r>
      <w:r w:rsidR="00373228">
        <w:rPr>
          <w:rFonts w:ascii="Verdana" w:hAnsi="Verdana"/>
          <w:sz w:val="18"/>
          <w:szCs w:val="18"/>
        </w:rPr>
        <w:t>à</w:t>
      </w:r>
      <w:r w:rsidRPr="00DC799E">
        <w:rPr>
          <w:rFonts w:ascii="Verdana" w:hAnsi="Verdana"/>
          <w:sz w:val="18"/>
          <w:szCs w:val="18"/>
        </w:rPr>
        <w:t xml:space="preserve">. 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i/>
          <w:sz w:val="18"/>
          <w:szCs w:val="18"/>
        </w:rPr>
        <w:t>Abrogato dalla l. 27 dicembre 2013, n. 147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Ogni lista regionale comprende un numero di candidate 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non inferiore alla met</w:t>
      </w:r>
      <w:r w:rsidR="00373228">
        <w:rPr>
          <w:rFonts w:ascii="Verdana" w:hAnsi="Verdana"/>
          <w:sz w:val="18"/>
          <w:szCs w:val="18"/>
        </w:rPr>
        <w:t>à</w:t>
      </w:r>
      <w:r w:rsidRPr="00DC799E">
        <w:rPr>
          <w:rFonts w:ascii="Verdana" w:hAnsi="Verdana"/>
          <w:sz w:val="18"/>
          <w:szCs w:val="18"/>
        </w:rPr>
        <w:t xml:space="preserve"> dei candidati da eleggere ai sensi del comma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3. 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In ogni lista regionale e provinciale nessuno dei due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sessi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pu</w:t>
      </w:r>
      <w:r w:rsidR="00373228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essere rappresentato in misura superiore ai due terzi 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candidati;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 caso di quoziente frazionario si procede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all'arrotondamento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all'</w:t>
      </w:r>
      <w:r>
        <w:rPr>
          <w:rFonts w:ascii="Verdana" w:hAnsi="Verdana"/>
          <w:sz w:val="18"/>
          <w:szCs w:val="18"/>
        </w:rPr>
        <w:t xml:space="preserve"> unit</w:t>
      </w:r>
      <w:r w:rsidR="00373228">
        <w:rPr>
          <w:rFonts w:ascii="Verdana" w:hAnsi="Verdana"/>
          <w:sz w:val="18"/>
          <w:szCs w:val="18"/>
        </w:rPr>
        <w:t>à più</w:t>
      </w:r>
      <w:r>
        <w:rPr>
          <w:rFonts w:ascii="Verdana" w:hAnsi="Verdana"/>
          <w:sz w:val="18"/>
          <w:szCs w:val="18"/>
        </w:rPr>
        <w:t xml:space="preserve"> vicina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.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 xml:space="preserve">La lettera </w:t>
      </w:r>
      <w:r w:rsidRPr="00373228">
        <w:rPr>
          <w:rFonts w:ascii="Verdana" w:hAnsi="Verdana"/>
          <w:i/>
          <w:sz w:val="18"/>
          <w:szCs w:val="18"/>
        </w:rPr>
        <w:t>d)</w:t>
      </w:r>
      <w:r w:rsidRPr="00DC799E">
        <w:rPr>
          <w:rFonts w:ascii="Verdana" w:hAnsi="Verdana"/>
          <w:sz w:val="18"/>
          <w:szCs w:val="18"/>
        </w:rPr>
        <w:t xml:space="preserve"> del secondo comma dell'articolo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febbraio 1968, n. 108, e successive modificazioni </w:t>
      </w:r>
      <w:r w:rsidR="00373228">
        <w:rPr>
          <w:rFonts w:ascii="Verdana" w:hAnsi="Verdana"/>
          <w:sz w:val="18"/>
          <w:szCs w:val="18"/>
        </w:rPr>
        <w:t>è</w:t>
      </w:r>
      <w:r w:rsidRPr="00DC799E">
        <w:rPr>
          <w:rFonts w:ascii="Verdana" w:hAnsi="Verdana"/>
          <w:sz w:val="18"/>
          <w:szCs w:val="18"/>
        </w:rPr>
        <w:t xml:space="preserve"> sostituita dalla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seguente: 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</w:t>
      </w:r>
      <w:r w:rsidRPr="00373228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 almeno 2.000 e da non pi</w:t>
      </w:r>
      <w:r w:rsidR="00373228">
        <w:rPr>
          <w:rFonts w:ascii="Verdana" w:hAnsi="Verdana"/>
          <w:sz w:val="18"/>
          <w:szCs w:val="18"/>
        </w:rPr>
        <w:t>ù</w:t>
      </w:r>
      <w:r w:rsidRPr="00DC799E">
        <w:rPr>
          <w:rFonts w:ascii="Verdana" w:hAnsi="Verdana"/>
          <w:sz w:val="18"/>
          <w:szCs w:val="18"/>
        </w:rPr>
        <w:t xml:space="preserve"> di 3.000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 elettorali di comuni compr</w:t>
      </w:r>
      <w:r w:rsidR="00373228">
        <w:rPr>
          <w:rFonts w:ascii="Verdana" w:hAnsi="Verdana"/>
          <w:sz w:val="18"/>
          <w:szCs w:val="18"/>
        </w:rPr>
        <w:t>esi nelle circoscrizioni con più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1.000.000 di abitanti.". 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La presentazione delle 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all'articolo 9 della legge 17 febbraio 1968,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108,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modificazioni, deve, a pena di nullit</w:t>
      </w:r>
      <w:r w:rsidR="00373228">
        <w:rPr>
          <w:rFonts w:ascii="Verdana" w:hAnsi="Verdana"/>
          <w:sz w:val="18"/>
          <w:szCs w:val="18"/>
        </w:rPr>
        <w:t>à</w:t>
      </w:r>
      <w:r w:rsidRPr="00DC799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accompagnata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dichiarazione di collegamento con una delle liste regionali di cui 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 5; tale dichiarazione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efficace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convergente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analoga dichiarazione resa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lastRenderedPageBreak/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 regionale predetta. Le liste provinciali e 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collegate sono contrassegnate dal medesimo simbolo. 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="00373228">
        <w:rPr>
          <w:rFonts w:ascii="Verdana" w:hAnsi="Verdana"/>
          <w:sz w:val="18"/>
          <w:szCs w:val="18"/>
        </w:rPr>
        <w:t>Più</w:t>
      </w:r>
      <w:r w:rsidRPr="00DC799E">
        <w:rPr>
          <w:rFonts w:ascii="Verdana" w:hAnsi="Verdana"/>
          <w:sz w:val="18"/>
          <w:szCs w:val="18"/>
        </w:rPr>
        <w:t xml:space="preserve"> liste 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collegarsi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regionale. In tal caso, la lista regionale </w:t>
      </w:r>
      <w:r w:rsidR="0037322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contrassegnata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simbolo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unico,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simboli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essa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collegate.</w:t>
      </w:r>
      <w:r w:rsidR="00373228">
        <w:rPr>
          <w:rFonts w:ascii="Verdana" w:hAnsi="Verdana"/>
          <w:sz w:val="18"/>
          <w:szCs w:val="18"/>
        </w:rPr>
        <w:t xml:space="preserve"> 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L'articolo 13 della le</w:t>
      </w:r>
      <w:r w:rsidR="00373228">
        <w:rPr>
          <w:rFonts w:ascii="Verdana" w:hAnsi="Verdana"/>
          <w:sz w:val="18"/>
          <w:szCs w:val="18"/>
        </w:rPr>
        <w:t>gge 17 febbraio 1968, n. 108, è</w:t>
      </w:r>
      <w:r w:rsidRPr="00DC799E">
        <w:rPr>
          <w:rFonts w:ascii="Verdana" w:hAnsi="Verdana"/>
          <w:sz w:val="18"/>
          <w:szCs w:val="18"/>
        </w:rPr>
        <w:t xml:space="preserve"> sostituito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dal seguente: </w:t>
      </w:r>
    </w:p>
    <w:p w:rsidR="00DC799E" w:rsidRPr="00DC799E" w:rsidRDefault="00373228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 w:rsidR="00DC799E" w:rsidRPr="00DC799E">
        <w:rPr>
          <w:rFonts w:ascii="Verdana" w:hAnsi="Verdana"/>
          <w:sz w:val="18"/>
          <w:szCs w:val="18"/>
        </w:rPr>
        <w:t>Art. 13 (Voto di preferenza). - 1.</w:t>
      </w:r>
      <w:r>
        <w:rPr>
          <w:rFonts w:ascii="Verdana" w:hAnsi="Verdana"/>
          <w:sz w:val="18"/>
          <w:szCs w:val="18"/>
        </w:rPr>
        <w:t xml:space="preserve">   </w:t>
      </w:r>
      <w:r w:rsidR="00DC799E">
        <w:rPr>
          <w:rFonts w:ascii="Verdana" w:hAnsi="Verdana"/>
          <w:sz w:val="18"/>
          <w:szCs w:val="18"/>
        </w:rPr>
        <w:t>L'elettore pu</w:t>
      </w:r>
      <w:r>
        <w:rPr>
          <w:rFonts w:ascii="Verdana" w:hAnsi="Verdana"/>
          <w:sz w:val="18"/>
          <w:szCs w:val="18"/>
        </w:rPr>
        <w:t>ò</w:t>
      </w:r>
      <w:r w:rsidR="00DC799E">
        <w:rPr>
          <w:rFonts w:ascii="Verdana" w:hAnsi="Verdana"/>
          <w:sz w:val="18"/>
          <w:szCs w:val="18"/>
        </w:rPr>
        <w:t xml:space="preserve"> manifestare una </w:t>
      </w:r>
      <w:r w:rsidR="00DC799E" w:rsidRPr="00DC799E">
        <w:rPr>
          <w:rFonts w:ascii="Verdana" w:hAnsi="Verdana"/>
          <w:sz w:val="18"/>
          <w:szCs w:val="18"/>
        </w:rPr>
        <w:t xml:space="preserve">sola preferenza." 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Alle liste regionali e 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disposizioni degli articoli 9, 10 e 11 della legge 17 febbraio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1968,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n. 108, e successive modificazioni intendendosi sostituito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centrale regionale all'ufficio centrale circoscrizionale. </w:t>
      </w:r>
    </w:p>
    <w:p w:rsidR="00DC799E" w:rsidRPr="00DC799E" w:rsidRDefault="00DC799E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In deroga a quanto previsto dall'articolo 9, primo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legge 17 febbraio 1968, n. 108, e successive modificazioni,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 prima applicazione della presente legge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devono essere presentate dalle ore 8 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ventiseiesimo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ore 12 del venticinquesimo giorno antecedente quello della votazione. </w:t>
      </w:r>
    </w:p>
    <w:p w:rsidR="00DC799E" w:rsidRPr="00EC2A03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  <w:r w:rsidRPr="00373228">
        <w:rPr>
          <w:rFonts w:ascii="Verdana" w:hAnsi="Verdana" w:cs="Arial"/>
          <w:sz w:val="18"/>
          <w:szCs w:val="18"/>
        </w:rPr>
        <w:t xml:space="preserve"> </w:t>
      </w:r>
    </w:p>
    <w:p w:rsidR="00DC799E" w:rsidRPr="00373228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73228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:rsidR="00DC799E" w:rsidRPr="00DC799E" w:rsidRDefault="00DC799E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 consigli regionali avviene su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un'unica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scheda.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reca, entro un apposito rettangolo, 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contrassegno di ciascuna lista provinciale affiancato, sulla medesima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linea, da una riga riservata all'eventuale indicazione di preferenza.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destra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rettangolo </w:t>
      </w:r>
      <w:r w:rsidR="00373228">
        <w:rPr>
          <w:rFonts w:ascii="Verdana" w:hAnsi="Verdana"/>
          <w:sz w:val="18"/>
          <w:szCs w:val="18"/>
        </w:rPr>
        <w:t>è</w:t>
      </w:r>
      <w:r w:rsidRPr="00DC799E">
        <w:rPr>
          <w:rFonts w:ascii="Verdana" w:hAnsi="Verdana"/>
          <w:sz w:val="18"/>
          <w:szCs w:val="18"/>
        </w:rPr>
        <w:t xml:space="preserve"> riportato il nome e cognome 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capolista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collegata,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affiancato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contrassegno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contrassegni della medesima lista regionale. 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rettangolo nonch</w:t>
      </w:r>
      <w:r w:rsidR="00373228">
        <w:rPr>
          <w:rFonts w:ascii="Verdana" w:hAnsi="Verdana"/>
          <w:sz w:val="18"/>
          <w:szCs w:val="18"/>
        </w:rPr>
        <w:t>é</w:t>
      </w:r>
      <w:r w:rsidRPr="00DC799E">
        <w:rPr>
          <w:rFonts w:ascii="Verdana" w:hAnsi="Verdana"/>
          <w:sz w:val="18"/>
          <w:szCs w:val="18"/>
        </w:rPr>
        <w:t xml:space="preserve"> il nome e cognome del capolista della 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 relativi contrassegni sono contenuti entro un secondo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ampio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rettangolo.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collegamento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medesima lista regionale, il nome e cognome 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capolista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 relativo contrassegno o i relativi contrassegni sono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posti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centro di tale secondo rettangolo. In caso di collegamento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progressiva dei rettangoli nel pi</w:t>
      </w:r>
      <w:r w:rsidR="00373228">
        <w:rPr>
          <w:rFonts w:ascii="Verdana" w:hAnsi="Verdana"/>
          <w:sz w:val="18"/>
          <w:szCs w:val="18"/>
        </w:rPr>
        <w:t>ù</w:t>
      </w:r>
      <w:r w:rsidRPr="00DC799E">
        <w:rPr>
          <w:rFonts w:ascii="Verdana" w:hAnsi="Verdana"/>
          <w:sz w:val="18"/>
          <w:szCs w:val="18"/>
        </w:rPr>
        <w:t xml:space="preserve"> ampio rettangolo </w:t>
      </w:r>
      <w:r w:rsidR="0037322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definita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sorteggio.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collocazione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progressiva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rettangoli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pi</w:t>
      </w:r>
      <w:r w:rsidR="00373228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ampi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scheda </w:t>
      </w:r>
      <w:r w:rsidR="00373228">
        <w:rPr>
          <w:rFonts w:ascii="Verdana" w:hAnsi="Verdana"/>
          <w:sz w:val="18"/>
          <w:szCs w:val="18"/>
        </w:rPr>
        <w:t>è</w:t>
      </w:r>
      <w:r w:rsidRPr="00DC799E">
        <w:rPr>
          <w:rFonts w:ascii="Verdana" w:hAnsi="Verdana"/>
          <w:sz w:val="18"/>
          <w:szCs w:val="18"/>
        </w:rPr>
        <w:t xml:space="preserve"> definita mediante sorteggio.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esprime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delle liste 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tracciando un segno nel relativo rettangolo, e pu</w:t>
      </w:r>
      <w:r w:rsidR="00373228">
        <w:rPr>
          <w:rFonts w:ascii="Verdana" w:hAnsi="Verdana"/>
          <w:sz w:val="18"/>
          <w:szCs w:val="18"/>
        </w:rPr>
        <w:t>ò</w:t>
      </w:r>
      <w:r w:rsidRPr="00DC799E">
        <w:rPr>
          <w:rFonts w:ascii="Verdana" w:hAnsi="Verdana"/>
          <w:sz w:val="18"/>
          <w:szCs w:val="18"/>
        </w:rPr>
        <w:t xml:space="preserve"> esprimere un voto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preferenza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scrivendo il cognome, ovvero il nome e cognome di uno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candidati compresi nella lista stessa. L'elettore esprime il suo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 regionali anche non collegata alla 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prescelta e per il suo capolista tracciando un segno sul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simbolo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nome del capolista. Qualora l'elettore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esprima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soltanto per una lista provinciale il voto 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validamente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 favore della lista 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collegata.</w:t>
      </w:r>
    </w:p>
    <w:p w:rsidR="00DC799E" w:rsidRPr="00EC2A03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DC799E" w:rsidRPr="00373228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73228">
        <w:rPr>
          <w:rFonts w:ascii="Verdana" w:hAnsi="Verdana" w:cs="Arial"/>
          <w:b/>
          <w:color w:val="1F497D" w:themeColor="text2"/>
          <w:sz w:val="18"/>
          <w:szCs w:val="18"/>
        </w:rPr>
        <w:t>Art. 3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373228">
        <w:rPr>
          <w:rFonts w:ascii="Verdana" w:hAnsi="Verdana"/>
          <w:i/>
          <w:sz w:val="18"/>
          <w:szCs w:val="18"/>
        </w:rPr>
        <w:t>a)</w:t>
      </w:r>
      <w:r w:rsidRPr="00DC799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15 della legge 17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febbraio 1968, n. 108, dopo le parole: "determina la cifra elettorale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ciascuna lista", sono aggiunte le seguenti: </w:t>
      </w:r>
      <w:r w:rsidR="00373228" w:rsidRPr="00DC799E">
        <w:rPr>
          <w:rFonts w:ascii="Verdana" w:hAnsi="Verdana"/>
          <w:sz w:val="18"/>
          <w:szCs w:val="18"/>
        </w:rPr>
        <w:t>"</w:t>
      </w:r>
      <w:r w:rsidRPr="00DC799E">
        <w:rPr>
          <w:rFonts w:ascii="Verdana" w:hAnsi="Verdana"/>
          <w:sz w:val="18"/>
          <w:szCs w:val="18"/>
        </w:rPr>
        <w:t>provinciale, nonch</w:t>
      </w:r>
      <w:r w:rsidR="00373228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cifra elettorale di ciascuna lista regionale". Al medesimo comma,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373228">
        <w:rPr>
          <w:rFonts w:ascii="Verdana" w:hAnsi="Verdana"/>
          <w:i/>
          <w:sz w:val="18"/>
          <w:szCs w:val="18"/>
        </w:rPr>
        <w:t>d)</w:t>
      </w:r>
      <w:r w:rsidRPr="00DC799E">
        <w:rPr>
          <w:rFonts w:ascii="Verdana" w:hAnsi="Verdana"/>
          <w:sz w:val="18"/>
          <w:szCs w:val="18"/>
        </w:rPr>
        <w:t>, sono aggiunte, in fin</w:t>
      </w:r>
      <w:r w:rsidR="00373228">
        <w:rPr>
          <w:rFonts w:ascii="Verdana" w:hAnsi="Verdana"/>
          <w:sz w:val="18"/>
          <w:szCs w:val="18"/>
        </w:rPr>
        <w:t>e, le parole: "comunica altresì</w:t>
      </w:r>
      <w:r w:rsidRPr="00DC799E">
        <w:rPr>
          <w:rFonts w:ascii="Verdana" w:hAnsi="Verdana"/>
          <w:sz w:val="18"/>
          <w:szCs w:val="18"/>
        </w:rPr>
        <w:t xml:space="preserve"> 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cifra elettorale di ciascuna l</w:t>
      </w:r>
      <w:r w:rsidR="00373228">
        <w:rPr>
          <w:rFonts w:ascii="Verdana" w:hAnsi="Verdana"/>
          <w:sz w:val="18"/>
          <w:szCs w:val="18"/>
        </w:rPr>
        <w:t>ista regionale</w:t>
      </w:r>
      <w:r w:rsidR="00373228" w:rsidRPr="00DC799E">
        <w:rPr>
          <w:rFonts w:ascii="Verdana" w:hAnsi="Verdana"/>
          <w:sz w:val="18"/>
          <w:szCs w:val="18"/>
        </w:rPr>
        <w:t>"</w:t>
      </w:r>
      <w:r w:rsidRPr="00DC799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l'undicesimo comma dell'articolo 15 della legge 17 febbraio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1968, n. 108, sono inseriti i seguenti:</w:t>
      </w:r>
    </w:p>
    <w:p w:rsidR="00DC799E" w:rsidRPr="00DC799E" w:rsidRDefault="00373228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"</w:t>
      </w:r>
      <w:r w:rsidR="00DC799E" w:rsidRPr="00DC799E">
        <w:rPr>
          <w:rFonts w:ascii="Verdana" w:hAnsi="Verdana"/>
          <w:sz w:val="18"/>
          <w:szCs w:val="18"/>
        </w:rPr>
        <w:t>L'Ufficio centrale regionale procede al riparto della restante quota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 seggi.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 tal fine effettua le seguenti operazioni: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determina in primo luogo la cifra elettorale regionale attribuita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sommando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 cifre elettorali ad essa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attribuite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sensi del terzo comma, lettera </w:t>
      </w:r>
      <w:r w:rsidRPr="00373228">
        <w:rPr>
          <w:rFonts w:ascii="Verdana" w:hAnsi="Verdana"/>
          <w:i/>
          <w:sz w:val="18"/>
          <w:szCs w:val="18"/>
        </w:rPr>
        <w:t>a)</w:t>
      </w:r>
      <w:r w:rsidRPr="00DC799E">
        <w:rPr>
          <w:rFonts w:ascii="Verdana" w:hAnsi="Verdana"/>
          <w:sz w:val="18"/>
          <w:szCs w:val="18"/>
        </w:rPr>
        <w:t>; individua altres</w:t>
      </w:r>
      <w:r w:rsidR="00373228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 totale dei seggi assegnati ai sensi dei commi precedenti al gruppo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 o ai gruppi di liste provinciali collegate a ciascuna 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individua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 lista regionale che ha conseguito la maggiore cifra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elettorale regionale;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lastRenderedPageBreak/>
        <w:t>3)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gruppi di liste 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collegale alla lista regionale di cui al numero </w:t>
      </w:r>
      <w:r w:rsidRPr="00373228">
        <w:rPr>
          <w:rFonts w:ascii="Verdana" w:hAnsi="Verdana"/>
          <w:i/>
          <w:sz w:val="18"/>
          <w:szCs w:val="18"/>
        </w:rPr>
        <w:t>2)</w:t>
      </w:r>
      <w:r w:rsidRPr="00DC799E">
        <w:rPr>
          <w:rFonts w:ascii="Verdana" w:hAnsi="Verdana"/>
          <w:sz w:val="18"/>
          <w:szCs w:val="18"/>
        </w:rPr>
        <w:t xml:space="preserve"> abbiano conseguito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 seggi pari o superiore al 50 per cento dei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proclama eletti i primi candidati compresi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concorrenza del 10 per cento 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seggi assegnati al consiglio; i restanti seggi da attribuire ai sensi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 sono ripartiti tra i gruppi di liste 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collegati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lista regionale di cui al numero </w:t>
      </w:r>
      <w:r w:rsidRPr="00373228">
        <w:rPr>
          <w:rFonts w:ascii="Verdana" w:hAnsi="Verdana"/>
          <w:i/>
          <w:sz w:val="18"/>
          <w:szCs w:val="18"/>
        </w:rPr>
        <w:t>2)</w:t>
      </w:r>
      <w:r w:rsidRPr="00DC799E">
        <w:rPr>
          <w:rFonts w:ascii="Verdana" w:hAnsi="Verdana"/>
          <w:sz w:val="18"/>
          <w:szCs w:val="18"/>
        </w:rPr>
        <w:t>. A tal fine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divide la somma delle cifre elettorali conseguite dai gruppi di 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questione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seggi da ripartire;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nell'effettuare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l'operazione trascura la eventuale parte frazionaria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quoziente.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Divide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poi la cifra elettorale di ciascun gruppo 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quoziente cos</w:t>
      </w:r>
      <w:r w:rsidR="00373228">
        <w:rPr>
          <w:rFonts w:ascii="Verdana" w:hAnsi="Verdana"/>
          <w:sz w:val="18"/>
          <w:szCs w:val="18"/>
        </w:rPr>
        <w:t>ì</w:t>
      </w:r>
      <w:r w:rsidRPr="00DC799E">
        <w:rPr>
          <w:rFonts w:ascii="Verdana" w:hAnsi="Verdana"/>
          <w:sz w:val="18"/>
          <w:szCs w:val="18"/>
        </w:rPr>
        <w:t xml:space="preserve"> ottenuto: il risultato rappresenta 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 seggi da assegnare a ciascun gruppo. I seggi che rimangono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attribuire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ai gruppi per i quali queste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ultime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divisioni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hanno dato maggiori resti e, in caso di parit</w:t>
      </w:r>
      <w:r w:rsidR="00373228">
        <w:rPr>
          <w:rFonts w:ascii="Verdana" w:hAnsi="Verdana"/>
          <w:sz w:val="18"/>
          <w:szCs w:val="18"/>
        </w:rPr>
        <w:t>à</w:t>
      </w:r>
      <w:r w:rsidRPr="00DC799E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resti, ai gruppi che hanno conseguito le maggiori cifre elettorali. 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 sono attribuiti nelle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singole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 decimo 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undicesimo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ad iniziare dalla prima circoscrizione alla quale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stato ancora attribuito il seggio ai sensi del decimo comma.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posti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graduatoria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abbiano gi</w:t>
      </w:r>
      <w:r w:rsidR="00373228">
        <w:rPr>
          <w:rFonts w:ascii="Verdana" w:hAnsi="Verdana"/>
          <w:sz w:val="18"/>
          <w:szCs w:val="18"/>
        </w:rPr>
        <w:t>à</w:t>
      </w:r>
      <w:r w:rsidRPr="00DC799E">
        <w:rPr>
          <w:rFonts w:ascii="Verdana" w:hAnsi="Verdana"/>
          <w:sz w:val="18"/>
          <w:szCs w:val="18"/>
        </w:rPr>
        <w:t xml:space="preserve"> dato luogo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all'assegnazione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seggi,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l'attribuzione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seggi ha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nuovamente inizio a partire dalla prima circoscrizione della medesima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graduatoria;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gruppi di liste 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collegate alla lista regionale di cui al numero </w:t>
      </w:r>
      <w:r w:rsidRPr="00373228">
        <w:rPr>
          <w:rFonts w:ascii="Verdana" w:hAnsi="Verdana"/>
          <w:i/>
          <w:sz w:val="18"/>
          <w:szCs w:val="18"/>
        </w:rPr>
        <w:t>2)</w:t>
      </w:r>
      <w:r w:rsidRPr="00DC799E">
        <w:rPr>
          <w:rFonts w:ascii="Verdana" w:hAnsi="Verdana"/>
          <w:sz w:val="18"/>
          <w:szCs w:val="18"/>
        </w:rPr>
        <w:t xml:space="preserve"> abbiano conseguito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 seggi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assegnati al consiglio assegna tutta la quota dei seggi da attribuire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ai sensi del presente comma alla lista regionale in questione;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proclama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quindi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 candidati compresi nella 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alla lista spettino più</w:t>
      </w:r>
      <w:r w:rsidRPr="00DC799E">
        <w:rPr>
          <w:rFonts w:ascii="Verdana" w:hAnsi="Verdana"/>
          <w:sz w:val="18"/>
          <w:szCs w:val="18"/>
        </w:rPr>
        <w:t xml:space="preserve"> posti di quanti siano 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suoi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candidati, i seggi residui sono ripartiti tra i gruppi di 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collegati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 regionale. I seggi sono ripartiti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singole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modalit</w:t>
      </w:r>
      <w:r w:rsidR="00373228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di cui al numero </w:t>
      </w:r>
      <w:r w:rsidRPr="00373228">
        <w:rPr>
          <w:rFonts w:ascii="Verdana" w:hAnsi="Verdana"/>
          <w:i/>
          <w:sz w:val="18"/>
          <w:szCs w:val="18"/>
        </w:rPr>
        <w:t>3)</w:t>
      </w:r>
      <w:r w:rsidRPr="00DC799E">
        <w:rPr>
          <w:rFonts w:ascii="Verdana" w:hAnsi="Verdana"/>
          <w:sz w:val="18"/>
          <w:szCs w:val="18"/>
        </w:rPr>
        <w:t>, secondo,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terzo, quarto, quinto e sesto periodo;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verifica quindi se la cifra elettorale regionale conseguita dalla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cui al numero </w:t>
      </w:r>
      <w:r w:rsidRPr="00373228">
        <w:rPr>
          <w:rFonts w:ascii="Verdana" w:hAnsi="Verdana"/>
          <w:i/>
          <w:sz w:val="18"/>
          <w:szCs w:val="18"/>
        </w:rPr>
        <w:t>2)</w:t>
      </w:r>
      <w:r w:rsidRPr="00DC799E">
        <w:rPr>
          <w:rFonts w:ascii="Verdana" w:hAnsi="Verdana"/>
          <w:sz w:val="18"/>
          <w:szCs w:val="18"/>
        </w:rPr>
        <w:t xml:space="preserve"> sia pari o superiore al 40 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cento del totale dei voti conseguiti da tutte le liste regionali;</w:t>
      </w:r>
      <w:r>
        <w:rPr>
          <w:rFonts w:ascii="Verdana" w:hAnsi="Verdana"/>
          <w:sz w:val="18"/>
          <w:szCs w:val="18"/>
        </w:rPr>
        <w:t xml:space="preserve"> 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7)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prevista al numero </w:t>
      </w:r>
      <w:r w:rsidRPr="00373228">
        <w:rPr>
          <w:rFonts w:ascii="Verdana" w:hAnsi="Verdana"/>
          <w:i/>
          <w:sz w:val="18"/>
          <w:szCs w:val="18"/>
        </w:rPr>
        <w:t>6)</w:t>
      </w:r>
      <w:r w:rsidRPr="00DC799E">
        <w:rPr>
          <w:rFonts w:ascii="Verdana" w:hAnsi="Verdana"/>
          <w:sz w:val="18"/>
          <w:szCs w:val="18"/>
        </w:rPr>
        <w:t xml:space="preserve"> dia esito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negativo,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 seggi conseguiti dalla 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 liste provinciali ad essa collegate sia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 55 per cento dei seggi assegnati al consiglio;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tale seconda verifica dia esito negativo, assegna alla 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aggiuntiva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 seggi che, tenuti fermi i seggi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ai sensi dei numeri </w:t>
      </w:r>
      <w:r w:rsidRPr="00373228">
        <w:rPr>
          <w:rFonts w:ascii="Verdana" w:hAnsi="Verdana"/>
          <w:i/>
          <w:sz w:val="18"/>
          <w:szCs w:val="18"/>
        </w:rPr>
        <w:t>4)</w:t>
      </w:r>
      <w:r w:rsidRPr="00DC799E">
        <w:rPr>
          <w:rFonts w:ascii="Verdana" w:hAnsi="Verdana"/>
          <w:sz w:val="18"/>
          <w:szCs w:val="18"/>
        </w:rPr>
        <w:t xml:space="preserve"> e </w:t>
      </w:r>
      <w:r w:rsidRPr="00373228">
        <w:rPr>
          <w:rFonts w:ascii="Verdana" w:hAnsi="Verdana"/>
          <w:i/>
          <w:sz w:val="18"/>
          <w:szCs w:val="18"/>
        </w:rPr>
        <w:t xml:space="preserve">5) </w:t>
      </w:r>
      <w:r w:rsidRPr="00DC799E">
        <w:rPr>
          <w:rFonts w:ascii="Verdana" w:hAnsi="Verdana"/>
          <w:sz w:val="18"/>
          <w:szCs w:val="18"/>
        </w:rPr>
        <w:t>e quelli attribuiti in ambito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provinciale,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consenta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 raggiungere il 55 per cento del totale 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cos</w:t>
      </w:r>
      <w:r w:rsidR="00373228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integrata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arrotondamento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all'unita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inferiore; tali seggi sono ripartiti tra 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collegale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ai sensi del numero </w:t>
      </w:r>
      <w:r w:rsidRPr="00373228">
        <w:rPr>
          <w:rFonts w:ascii="Verdana" w:hAnsi="Verdana"/>
          <w:i/>
          <w:sz w:val="18"/>
          <w:szCs w:val="18"/>
        </w:rPr>
        <w:t>3)</w:t>
      </w:r>
      <w:r w:rsidRPr="00DC799E">
        <w:rPr>
          <w:rFonts w:ascii="Verdana" w:hAnsi="Verdana"/>
          <w:sz w:val="18"/>
          <w:szCs w:val="18"/>
        </w:rPr>
        <w:t>, secondo, terzo,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quarto, quinto e sesto periodo;</w:t>
      </w:r>
    </w:p>
    <w:p w:rsidR="002903C4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8)</w:t>
      </w:r>
      <w:r w:rsidRPr="00DC799E">
        <w:rPr>
          <w:rFonts w:ascii="Verdana" w:hAnsi="Verdana"/>
          <w:sz w:val="18"/>
          <w:szCs w:val="18"/>
        </w:rPr>
        <w:t xml:space="preserve"> nel caso in cui la verifica prevista al numero </w:t>
      </w:r>
      <w:r w:rsidRPr="00373228">
        <w:rPr>
          <w:rFonts w:ascii="Verdana" w:hAnsi="Verdana"/>
          <w:i/>
          <w:sz w:val="18"/>
          <w:szCs w:val="18"/>
        </w:rPr>
        <w:t>6)</w:t>
      </w:r>
      <w:r w:rsidRPr="00DC799E">
        <w:rPr>
          <w:rFonts w:ascii="Verdana" w:hAnsi="Verdana"/>
          <w:sz w:val="18"/>
          <w:szCs w:val="18"/>
        </w:rPr>
        <w:t xml:space="preserve"> abbia dato esito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positivo, effettua le operazioni di cui al numero </w:t>
      </w:r>
      <w:r w:rsidRPr="00373228">
        <w:rPr>
          <w:rFonts w:ascii="Verdana" w:hAnsi="Verdana"/>
          <w:i/>
          <w:sz w:val="18"/>
          <w:szCs w:val="18"/>
        </w:rPr>
        <w:t>7)</w:t>
      </w:r>
      <w:r w:rsidRPr="00DC799E">
        <w:rPr>
          <w:rFonts w:ascii="Verdana" w:hAnsi="Verdana"/>
          <w:sz w:val="18"/>
          <w:szCs w:val="18"/>
        </w:rPr>
        <w:t xml:space="preserve"> sostituendo 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percentuale del 55 per cento quella del 60 per cento.</w:t>
      </w:r>
    </w:p>
    <w:p w:rsidR="002903C4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373228">
        <w:rPr>
          <w:rFonts w:ascii="Verdana" w:hAnsi="Verdana"/>
          <w:i/>
          <w:sz w:val="18"/>
          <w:szCs w:val="18"/>
        </w:rPr>
        <w:t>7)</w:t>
      </w:r>
      <w:r w:rsidRPr="00DC799E">
        <w:rPr>
          <w:rFonts w:ascii="Verdana" w:hAnsi="Verdana"/>
          <w:sz w:val="18"/>
          <w:szCs w:val="18"/>
        </w:rPr>
        <w:t xml:space="preserve"> e </w:t>
      </w:r>
      <w:r w:rsidRPr="00373228">
        <w:rPr>
          <w:rFonts w:ascii="Verdana" w:hAnsi="Verdana"/>
          <w:i/>
          <w:sz w:val="18"/>
          <w:szCs w:val="18"/>
        </w:rPr>
        <w:t>8)</w:t>
      </w:r>
      <w:r w:rsidRPr="00DC799E">
        <w:rPr>
          <w:rFonts w:ascii="Verdana" w:hAnsi="Verdana"/>
          <w:sz w:val="18"/>
          <w:szCs w:val="18"/>
        </w:rPr>
        <w:t xml:space="preserve"> del comma precedente, i seggi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sensi dell'articolo 2 sono aumentati 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all'ulteriore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assegnati ai sensi 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predetti numeri.</w:t>
      </w:r>
    </w:p>
    <w:p w:rsidR="00DC799E" w:rsidRPr="00DC799E" w:rsidRDefault="00373228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 caso in cui più</w:t>
      </w:r>
      <w:r w:rsidR="00DC799E" w:rsidRPr="00DC799E">
        <w:rPr>
          <w:rFonts w:ascii="Verdana" w:hAnsi="Verdana"/>
          <w:sz w:val="18"/>
          <w:szCs w:val="18"/>
        </w:rPr>
        <w:t xml:space="preserve"> gruppi di liste provinciali siano collegate alla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lista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 xml:space="preserve">cui al numero </w:t>
      </w:r>
      <w:r w:rsidR="00DC799E" w:rsidRPr="00373228">
        <w:rPr>
          <w:rFonts w:ascii="Verdana" w:hAnsi="Verdana"/>
          <w:i/>
          <w:sz w:val="18"/>
          <w:szCs w:val="18"/>
        </w:rPr>
        <w:t>2)</w:t>
      </w:r>
      <w:r w:rsidR="00DC799E" w:rsidRPr="00DC799E">
        <w:rPr>
          <w:rFonts w:ascii="Verdana" w:hAnsi="Verdana"/>
          <w:sz w:val="18"/>
          <w:szCs w:val="18"/>
        </w:rPr>
        <w:t xml:space="preserve"> del tredicesimo comma, l'Ufficio centrale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regionale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compila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altres</w:t>
      </w:r>
      <w:r>
        <w:rPr>
          <w:rFonts w:ascii="Verdana" w:hAnsi="Verdana"/>
          <w:sz w:val="18"/>
          <w:szCs w:val="18"/>
        </w:rPr>
        <w:t>ì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la graduatoria per le eventuali surroghe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dei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candidati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ai sensi del terzo comma dell'articolo 16. A tal fine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divide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cifra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elettorale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ciascuno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dei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gruppi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liste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provinciali di cui al periodo precedente successivamente per 1, 2, 3,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4...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sino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 concorrenza dei candidati proclamati eletti nella lista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regionale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quindi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sceglie, tra i quozienti cos</w:t>
      </w:r>
      <w:r>
        <w:rPr>
          <w:rFonts w:ascii="Verdana" w:hAnsi="Verdana"/>
          <w:sz w:val="18"/>
          <w:szCs w:val="18"/>
        </w:rPr>
        <w:t>ì</w:t>
      </w:r>
      <w:r w:rsidR="00DC799E" w:rsidRPr="00DC799E">
        <w:rPr>
          <w:rFonts w:ascii="Verdana" w:hAnsi="Verdana"/>
          <w:sz w:val="18"/>
          <w:szCs w:val="18"/>
        </w:rPr>
        <w:t xml:space="preserve"> ottenuti, i pi</w:t>
      </w:r>
      <w:r>
        <w:rPr>
          <w:rFonts w:ascii="Verdana" w:hAnsi="Verdana"/>
          <w:sz w:val="18"/>
          <w:szCs w:val="18"/>
        </w:rPr>
        <w:t>ù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alti, in numero eguale a quello dei candidati eletti, disponendoli in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una graduatoria decrescente. Tale graduatoria viene utilizzata per le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eventu</w:t>
      </w:r>
      <w:r>
        <w:rPr>
          <w:rFonts w:ascii="Verdana" w:hAnsi="Verdana"/>
          <w:sz w:val="18"/>
          <w:szCs w:val="18"/>
        </w:rPr>
        <w:t>a</w:t>
      </w:r>
      <w:r w:rsidR="00DC799E" w:rsidRPr="00DC799E">
        <w:rPr>
          <w:rFonts w:ascii="Verdana" w:hAnsi="Verdana"/>
          <w:sz w:val="18"/>
          <w:szCs w:val="18"/>
        </w:rPr>
        <w:t>li surroghe di cui al terzo comma dell'articolo 16".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 xml:space="preserve">All'articolo 16 della legge 17 febbraio 1968, n. 108, </w:t>
      </w:r>
      <w:r w:rsidR="00373228">
        <w:rPr>
          <w:rFonts w:ascii="Verdana" w:hAnsi="Verdana"/>
          <w:sz w:val="18"/>
          <w:szCs w:val="18"/>
        </w:rPr>
        <w:t>è</w:t>
      </w:r>
      <w:r w:rsidRPr="00DC799E">
        <w:rPr>
          <w:rFonts w:ascii="Verdana" w:hAnsi="Verdana"/>
          <w:sz w:val="18"/>
          <w:szCs w:val="18"/>
        </w:rPr>
        <w:t xml:space="preserve"> aggiunto,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 w:rsidR="00035313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fine, il seguente comma:</w:t>
      </w:r>
    </w:p>
    <w:p w:rsidR="00DC799E" w:rsidRPr="00DC799E" w:rsidRDefault="00373228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lastRenderedPageBreak/>
        <w:t>"</w:t>
      </w:r>
      <w:r w:rsidR="00DC799E" w:rsidRPr="00DC799E">
        <w:rPr>
          <w:rFonts w:ascii="Verdana" w:hAnsi="Verdana"/>
          <w:sz w:val="18"/>
          <w:szCs w:val="18"/>
        </w:rPr>
        <w:t>Nel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caso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in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cui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si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renda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necessaria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per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qualsiasi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causa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sostituzione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un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consigliere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proclamato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eletto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nella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lista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regionale,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 xml:space="preserve">il seggio </w:t>
      </w:r>
      <w:r>
        <w:rPr>
          <w:rFonts w:ascii="Verdana" w:hAnsi="Verdana"/>
          <w:sz w:val="18"/>
          <w:szCs w:val="18"/>
        </w:rPr>
        <w:t>è</w:t>
      </w:r>
      <w:r w:rsidR="00DC799E" w:rsidRPr="00DC799E">
        <w:rPr>
          <w:rFonts w:ascii="Verdana" w:hAnsi="Verdana"/>
          <w:sz w:val="18"/>
          <w:szCs w:val="18"/>
        </w:rPr>
        <w:t xml:space="preserve"> attribuito al primo dei candidati non eletti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inclusi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nella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lista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regionale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e,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qualora questa abbia esaurito 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propri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candidati,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al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gruppo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liste contrassegnate dallo stesso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contrassegno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secondo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graduatoria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cui al quindicesimo comma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dell'articolo 15. Il seggio spettante al gruppo di liste viene quindi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assegnato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alla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circoscrizione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secondo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le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disposizioni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di cui al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decimo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all'undicesimo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comma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del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medesimo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articolo.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Nella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circoscrizione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il</w:t>
      </w:r>
      <w:r w:rsidR="00DC799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seggio è</w:t>
      </w:r>
      <w:r w:rsidR="00DC799E" w:rsidRPr="00DC799E">
        <w:rPr>
          <w:rFonts w:ascii="Verdana" w:hAnsi="Verdana"/>
          <w:sz w:val="18"/>
          <w:szCs w:val="18"/>
        </w:rPr>
        <w:t xml:space="preserve"> attribuito al candidato che nella lista</w:t>
      </w:r>
      <w:r w:rsidR="00DC799E">
        <w:rPr>
          <w:rFonts w:ascii="Verdana" w:hAnsi="Verdana"/>
          <w:sz w:val="18"/>
          <w:szCs w:val="18"/>
        </w:rPr>
        <w:t xml:space="preserve"> </w:t>
      </w:r>
      <w:r w:rsidR="00DC799E" w:rsidRPr="00DC799E">
        <w:rPr>
          <w:rFonts w:ascii="Verdana" w:hAnsi="Verdana"/>
          <w:sz w:val="18"/>
          <w:szCs w:val="18"/>
        </w:rPr>
        <w:t>segue immediatamente l'ultimo eletto".</w:t>
      </w:r>
    </w:p>
    <w:p w:rsidR="00DC799E" w:rsidRPr="00EC2A03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DC799E" w:rsidRPr="00373228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73228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 consigli provinciali e comunali previste per 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primavera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1995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luogo, anche in deroga a quanto previsto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1991, n. 182, e successive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contestualmente all'elezione per il primo rinnovo 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ordinario successivo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all'entrata in vigore della presente legge.</w:t>
      </w:r>
    </w:p>
    <w:p w:rsidR="00DC799E" w:rsidRPr="00DC799E" w:rsidRDefault="00DC799E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i/>
          <w:sz w:val="18"/>
          <w:szCs w:val="18"/>
        </w:rPr>
        <w:t>Abrogato dalla legge 30 aprile 1999, n. 120</w:t>
      </w:r>
    </w:p>
    <w:p w:rsidR="00DC799E" w:rsidRPr="00EC2A03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DC799E" w:rsidRPr="00373228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73228">
        <w:rPr>
          <w:rFonts w:ascii="Verdana" w:hAnsi="Verdana" w:cs="Arial"/>
          <w:b/>
          <w:color w:val="1F497D" w:themeColor="text2"/>
          <w:sz w:val="18"/>
          <w:szCs w:val="18"/>
        </w:rPr>
        <w:t>Art. 5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 la campagna elettorale di ciascun candidato alle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provinciale non possono superare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fissa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pari </w:t>
      </w:r>
      <w:r w:rsidR="00035313" w:rsidRPr="00035313">
        <w:rPr>
          <w:rFonts w:ascii="Verdana" w:hAnsi="Verdana"/>
          <w:sz w:val="18"/>
          <w:szCs w:val="18"/>
        </w:rPr>
        <w:t>ad euro 34.247,89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incrementato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una ulteriore cifra pari al prodotto di </w:t>
      </w:r>
      <w:r w:rsidR="00035313" w:rsidRPr="00035313">
        <w:rPr>
          <w:rFonts w:ascii="Verdana" w:hAnsi="Verdana"/>
          <w:sz w:val="18"/>
          <w:szCs w:val="18"/>
        </w:rPr>
        <w:t>euro 0,0054</w:t>
      </w:r>
      <w:r w:rsidRPr="00DC799E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ogni cittadino residente nella circoscrizione. Per i candidati che 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presentano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 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="00035313" w:rsidRPr="00035313">
        <w:rPr>
          <w:rFonts w:ascii="Verdana" w:hAnsi="Verdana"/>
          <w:sz w:val="18"/>
          <w:szCs w:val="18"/>
        </w:rPr>
        <w:t>ad euro 34.247,89</w:t>
      </w:r>
      <w:r w:rsidR="00035313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DC799E">
        <w:rPr>
          <w:rFonts w:ascii="Verdana" w:hAnsi="Verdana"/>
          <w:sz w:val="18"/>
          <w:szCs w:val="18"/>
        </w:rPr>
        <w:t>. Per coloro che 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pi</w:t>
      </w:r>
      <w:r w:rsidR="00373228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pi</w:t>
      </w:r>
      <w:r w:rsidR="00373228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consentito per una candidatura aumentato del 10 per cento. Per coloro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una o pi</w:t>
      </w:r>
      <w:r w:rsidR="00373228">
        <w:rPr>
          <w:rFonts w:ascii="Verdana" w:hAnsi="Verdana"/>
          <w:sz w:val="18"/>
          <w:szCs w:val="18"/>
        </w:rPr>
        <w:t>ù</w:t>
      </w:r>
      <w:r w:rsidRPr="00DC799E">
        <w:rPr>
          <w:rFonts w:ascii="Verdana" w:hAnsi="Verdana"/>
          <w:sz w:val="18"/>
          <w:szCs w:val="18"/>
        </w:rPr>
        <w:t xml:space="preserve"> circoscrizioni provinciali e nella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campagna elettorale non possono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consentito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una delle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candidature nelle liste provinciali aumentato del 30 per cento.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Le spese per la propaganda elettorale espressamente riferite 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eccezione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capolista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ancorché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dai partiti di appartenenza o dalle liste, sono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computate,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 spesa di cui al comma 1, tra 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pro quota. Tali spese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debbono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quantificate nella dichiarazione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2, primo comma, numero </w:t>
      </w:r>
      <w:r w:rsidRPr="00373228">
        <w:rPr>
          <w:rFonts w:ascii="Verdana" w:hAnsi="Verdana"/>
          <w:i/>
          <w:sz w:val="18"/>
          <w:szCs w:val="18"/>
        </w:rPr>
        <w:t>3)</w:t>
      </w:r>
      <w:r w:rsidRPr="00DC799E">
        <w:rPr>
          <w:rFonts w:ascii="Verdana" w:hAnsi="Verdana"/>
          <w:sz w:val="18"/>
          <w:szCs w:val="18"/>
        </w:rPr>
        <w:t>, della legge 5 luglio 1982, n. 441.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campagna elettorale di ciascun partito,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movimento o lista, che partecipa alle elezioni, escluse quelle di cui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 2, non possono superare la somma risultante dall'importo 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1,00 moltiplicato per il numero complessivo dei cittadini 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 la elezione 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deputati nelle circoscrizioni provinciali nelle quali ha</w:t>
      </w:r>
      <w:r>
        <w:rPr>
          <w:rFonts w:ascii="Verdana" w:hAnsi="Verdana"/>
          <w:sz w:val="18"/>
          <w:szCs w:val="18"/>
        </w:rPr>
        <w:t xml:space="preserve"> presentato proprie liste.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consigli regionali delle regioni a statuto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 disposizioni di cui ai seguenti articoli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 legge 10 dicembre 1993, n. 515, e successive modificazioni:</w:t>
      </w:r>
    </w:p>
    <w:p w:rsidR="00DC799E" w:rsidRPr="00DC799E" w:rsidRDefault="00DC799E" w:rsidP="0003531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a)</w:t>
      </w:r>
      <w:r w:rsidRPr="00DC799E">
        <w:rPr>
          <w:rFonts w:ascii="Verdana" w:hAnsi="Verdana"/>
          <w:sz w:val="18"/>
          <w:szCs w:val="18"/>
        </w:rPr>
        <w:t xml:space="preserve"> articolo 7, commi 3 e 4, con esclusione dei candidati che spendono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meno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5 milioni </w:t>
      </w:r>
      <w:r w:rsidR="00035313">
        <w:rPr>
          <w:rFonts w:ascii="Verdana" w:hAnsi="Verdana"/>
          <w:sz w:val="18"/>
          <w:szCs w:val="18"/>
        </w:rPr>
        <w:t>[</w:t>
      </w:r>
      <w:r w:rsidR="00035313" w:rsidRPr="00035313">
        <w:rPr>
          <w:rFonts w:ascii="Verdana" w:hAnsi="Verdana"/>
          <w:sz w:val="18"/>
          <w:szCs w:val="18"/>
        </w:rPr>
        <w:t>ora, euro 2.582,28]</w:t>
      </w:r>
      <w:r w:rsidR="00035313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035313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avvalendosi unicamente di denaro proprio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fermo restando l'obbligo di redigere il rendiconto di cui al comma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6;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 6, intendendosi sostituito al Presidente della Camera 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appartenenza il presidente del consiglio regionale; commi 7 e 8;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lastRenderedPageBreak/>
        <w:t>b)</w:t>
      </w:r>
      <w:r w:rsidRPr="00DC799E">
        <w:rPr>
          <w:rFonts w:ascii="Verdana" w:hAnsi="Verdana"/>
          <w:sz w:val="18"/>
          <w:szCs w:val="18"/>
        </w:rPr>
        <w:t xml:space="preserve"> articolo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intendendosi sostituiti ai Presidenti delle Camere 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presidenti dei consigli regionali</w:t>
      </w:r>
      <w:r w:rsidR="00035313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DC799E">
        <w:rPr>
          <w:rFonts w:ascii="Verdana" w:hAnsi="Verdana"/>
          <w:sz w:val="18"/>
          <w:szCs w:val="18"/>
        </w:rPr>
        <w:t>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c)</w:t>
      </w:r>
      <w:r w:rsidRPr="00DC799E">
        <w:rPr>
          <w:rFonts w:ascii="Verdana" w:hAnsi="Verdana"/>
          <w:sz w:val="18"/>
          <w:szCs w:val="18"/>
        </w:rPr>
        <w:t xml:space="preserve"> articolo 11;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d)</w:t>
      </w:r>
      <w:r w:rsidRPr="00DC799E">
        <w:rPr>
          <w:rFonts w:ascii="Verdana" w:hAnsi="Verdana"/>
          <w:sz w:val="18"/>
          <w:szCs w:val="18"/>
        </w:rPr>
        <w:t xml:space="preserve"> articolo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 1, intendendosi sostituiti i Presidenti delle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rispettive Camere con il presidente del consiglio regionale; comma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2;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 3, intendendosi sostituiti i Presidenti delle Camere con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regionale;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4, intendendosi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 l'Ufficio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centrale circoscrizionale;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 xml:space="preserve">e) </w:t>
      </w:r>
      <w:r w:rsidRPr="00DC799E">
        <w:rPr>
          <w:rFonts w:ascii="Verdana" w:hAnsi="Verdana"/>
          <w:sz w:val="18"/>
          <w:szCs w:val="18"/>
        </w:rPr>
        <w:t>articolo 13;</w:t>
      </w:r>
    </w:p>
    <w:p w:rsidR="00DC799E" w:rsidRPr="00DC799E" w:rsidRDefault="00DC799E" w:rsidP="00285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 xml:space="preserve">f) </w:t>
      </w:r>
      <w:r w:rsidRPr="00DC799E">
        <w:rPr>
          <w:rFonts w:ascii="Verdana" w:hAnsi="Verdana"/>
          <w:sz w:val="18"/>
          <w:szCs w:val="18"/>
        </w:rPr>
        <w:t>articolo 14;</w:t>
      </w:r>
    </w:p>
    <w:p w:rsidR="00DC799E" w:rsidRPr="00DC799E" w:rsidRDefault="00DC799E" w:rsidP="0037322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>g)</w:t>
      </w:r>
      <w:r w:rsidRPr="00DC799E">
        <w:rPr>
          <w:rFonts w:ascii="Verdana" w:hAnsi="Verdana"/>
          <w:sz w:val="18"/>
          <w:szCs w:val="18"/>
        </w:rPr>
        <w:t xml:space="preserve"> articolo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15, commi 3 e 5; comma 6, intendendosi i limiti di spesa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riferiti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 cui al comma 1 del presente</w:t>
      </w:r>
      <w:r>
        <w:rPr>
          <w:rFonts w:ascii="Verdana" w:hAnsi="Verdana"/>
          <w:sz w:val="18"/>
          <w:szCs w:val="18"/>
        </w:rPr>
        <w:t xml:space="preserve"> </w:t>
      </w:r>
      <w:r w:rsidR="004B3B1D">
        <w:rPr>
          <w:rFonts w:ascii="Verdana" w:hAnsi="Verdana"/>
          <w:sz w:val="18"/>
          <w:szCs w:val="18"/>
        </w:rPr>
        <w:t>articolo; commi</w:t>
      </w:r>
      <w:r w:rsidRPr="00DC799E">
        <w:rPr>
          <w:rFonts w:ascii="Verdana" w:hAnsi="Verdana"/>
          <w:sz w:val="18"/>
          <w:szCs w:val="18"/>
        </w:rPr>
        <w:t xml:space="preserve"> 7 e 8; comma 9, intendendosi i limiti di spesa ivi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riferiti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 presente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articolo;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intendendosi sostituito al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Camera di appartenenza il presidente del consiglio regionale;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12; comma 13, intendendosi per contributo alle spese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cui all'articolo 1 della legge 18 novembre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1981, n. 659, e successive modificazioni; commi 14 e 15; comma 16,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intendendosi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quelli di cui al comma 3 del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presente articolo e per contributo alle spese elettorali quello 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cui all'articolo 1 della citata legge 18 novembre 1981, n. 659;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comma 19, primo periodo.</w:t>
      </w:r>
    </w:p>
    <w:p w:rsidR="00DC799E" w:rsidRPr="00DC799E" w:rsidRDefault="00DC799E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La dichiarazione di cui all'articolo 7, comma 6, della legge 10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515,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deve essere trasmessa entro tre mesi dalla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data delle elezioni.</w:t>
      </w:r>
    </w:p>
    <w:p w:rsidR="00DC799E" w:rsidRPr="00EC2A03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DC799E" w:rsidRPr="00373228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73228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 </w:t>
      </w:r>
    </w:p>
    <w:p w:rsidR="00DC799E" w:rsidRPr="00373228" w:rsidRDefault="00373228" w:rsidP="00DC799E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73228">
        <w:rPr>
          <w:rFonts w:ascii="Verdana" w:hAnsi="Verdana"/>
          <w:i/>
          <w:sz w:val="18"/>
          <w:szCs w:val="18"/>
        </w:rPr>
        <w:t xml:space="preserve">Abrogato dal </w:t>
      </w:r>
      <w:proofErr w:type="spellStart"/>
      <w:r w:rsidRPr="00373228">
        <w:rPr>
          <w:rFonts w:ascii="Verdana" w:hAnsi="Verdana"/>
          <w:i/>
          <w:sz w:val="18"/>
          <w:szCs w:val="18"/>
        </w:rPr>
        <w:t>d.l.</w:t>
      </w:r>
      <w:proofErr w:type="spellEnd"/>
      <w:r w:rsidRPr="00373228">
        <w:rPr>
          <w:rFonts w:ascii="Verdana" w:hAnsi="Verdana"/>
          <w:i/>
          <w:sz w:val="18"/>
          <w:szCs w:val="18"/>
        </w:rPr>
        <w:t xml:space="preserve"> 28 dicembre 2013, n. 149, convertito con modificazioni dalla l. 21 febbraio 2014, n. 13</w:t>
      </w:r>
    </w:p>
    <w:p w:rsidR="00DC799E" w:rsidRPr="00EC2A03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DC799E" w:rsidRPr="00373228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73228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DC799E" w:rsidRPr="00DC799E" w:rsidRDefault="00DC799E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</w:t>
      </w:r>
      <w:r w:rsidR="00373228">
        <w:rPr>
          <w:rFonts w:ascii="Verdana" w:hAnsi="Verdana"/>
          <w:sz w:val="18"/>
          <w:szCs w:val="18"/>
        </w:rPr>
        <w:t>.</w:t>
      </w:r>
      <w:r w:rsidR="00373228"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Non sono ammesse all'assegnazione dei seggi le liste provinciali il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gruppo abbia ottenuto, nell'intera regione, meno del 3 per cento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validi, a meno che sia collegato a una lista regionale che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ha superato la percentuale del 5 per cento.</w:t>
      </w:r>
    </w:p>
    <w:p w:rsidR="00DC799E" w:rsidRPr="00EC2A03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DC799E" w:rsidRPr="00373228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73228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DC799E" w:rsidRPr="00DC799E" w:rsidRDefault="00DC799E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1.</w:t>
      </w:r>
      <w:r w:rsidR="00373228"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corso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ventiquattro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mesi il rapporto fiduciario tra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="0037322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posto in crisi, il quinquennio di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 xml:space="preserve">durata in carica del consiglio regionale </w:t>
      </w:r>
      <w:r w:rsidR="00373228">
        <w:rPr>
          <w:rFonts w:ascii="Verdana" w:hAnsi="Verdana"/>
          <w:sz w:val="18"/>
          <w:szCs w:val="18"/>
        </w:rPr>
        <w:t>è</w:t>
      </w:r>
      <w:r w:rsidRPr="00DC799E">
        <w:rPr>
          <w:rFonts w:ascii="Verdana" w:hAnsi="Verdana"/>
          <w:sz w:val="18"/>
          <w:szCs w:val="18"/>
        </w:rPr>
        <w:t xml:space="preserve"> ridotto ad un biennio.</w:t>
      </w:r>
    </w:p>
    <w:p w:rsidR="00DC799E" w:rsidRPr="00EC2A03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  <w:bookmarkStart w:id="0" w:name="_GoBack"/>
      <w:bookmarkEnd w:id="0"/>
    </w:p>
    <w:p w:rsidR="00DC799E" w:rsidRPr="00373228" w:rsidRDefault="00DC799E" w:rsidP="00373228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73228">
        <w:rPr>
          <w:rFonts w:ascii="Verdana" w:hAnsi="Verdana" w:cs="Arial"/>
          <w:b/>
          <w:color w:val="1F497D" w:themeColor="text2"/>
          <w:sz w:val="18"/>
          <w:szCs w:val="18"/>
        </w:rPr>
        <w:t>Art. 9.</w:t>
      </w:r>
    </w:p>
    <w:p w:rsidR="00DC799E" w:rsidRPr="00DC799E" w:rsidRDefault="00DC799E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1.</w:t>
      </w:r>
      <w:r w:rsidR="00373228">
        <w:rPr>
          <w:rFonts w:ascii="Verdana" w:hAnsi="Verdana"/>
          <w:sz w:val="18"/>
          <w:szCs w:val="18"/>
        </w:rPr>
        <w:tab/>
      </w: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legge entra in vigore il giorno successivo a quello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Gazzetta Ufficiale della Repubblica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italiana.</w:t>
      </w:r>
    </w:p>
    <w:p w:rsidR="00DC799E" w:rsidRPr="00DC799E" w:rsidRDefault="00DC799E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presente legge, muni</w:t>
      </w:r>
      <w:r w:rsidR="00373228">
        <w:rPr>
          <w:rFonts w:ascii="Verdana" w:hAnsi="Verdana"/>
          <w:sz w:val="18"/>
          <w:szCs w:val="18"/>
        </w:rPr>
        <w:t>ta del sigillo dello Stato, sarà</w:t>
      </w:r>
      <w:r w:rsidRPr="00DC799E">
        <w:rPr>
          <w:rFonts w:ascii="Verdana" w:hAnsi="Verdana"/>
          <w:sz w:val="18"/>
          <w:szCs w:val="18"/>
        </w:rPr>
        <w:t xml:space="preserve"> inserita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Repubblica</w:t>
      </w:r>
      <w:r w:rsidR="00373228">
        <w:rPr>
          <w:rFonts w:ascii="Verdana" w:hAnsi="Verdana"/>
          <w:sz w:val="18"/>
          <w:szCs w:val="18"/>
        </w:rPr>
        <w:t xml:space="preserve"> italiana. È</w:t>
      </w:r>
      <w:r w:rsidRPr="00DC799E">
        <w:rPr>
          <w:rFonts w:ascii="Verdana" w:hAnsi="Verdana"/>
          <w:sz w:val="18"/>
          <w:szCs w:val="18"/>
        </w:rPr>
        <w:t xml:space="preserve"> fatto obbligo a chiunque spetti di osservarla e di farla</w:t>
      </w:r>
      <w:r w:rsidR="00373228">
        <w:rPr>
          <w:rFonts w:ascii="Verdana" w:hAnsi="Verdana"/>
          <w:sz w:val="18"/>
          <w:szCs w:val="18"/>
        </w:rPr>
        <w:t xml:space="preserve"> </w:t>
      </w:r>
      <w:r w:rsidRPr="00DC799E">
        <w:rPr>
          <w:rFonts w:ascii="Verdana" w:hAnsi="Verdana"/>
          <w:sz w:val="18"/>
          <w:szCs w:val="18"/>
        </w:rPr>
        <w:t>osservare come legge dello Stato.</w:t>
      </w:r>
    </w:p>
    <w:p w:rsidR="00DC799E" w:rsidRPr="00DC799E" w:rsidRDefault="00373228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DC799E" w:rsidRPr="00DC799E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DC799E" w:rsidRPr="00DC799E">
        <w:rPr>
          <w:rFonts w:ascii="Verdana" w:hAnsi="Verdana"/>
          <w:sz w:val="18"/>
          <w:szCs w:val="18"/>
        </w:rPr>
        <w:t xml:space="preserve"> 23 febbraio 1995</w:t>
      </w:r>
    </w:p>
    <w:p w:rsidR="00DC799E" w:rsidRPr="00DC799E" w:rsidRDefault="00DC799E" w:rsidP="00373228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SCALFARO</w:t>
      </w:r>
    </w:p>
    <w:p w:rsidR="00DC799E" w:rsidRPr="00DC799E" w:rsidRDefault="00DC799E" w:rsidP="00373228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DINI, Presidente del Consiglio dei Ministri</w:t>
      </w:r>
    </w:p>
    <w:p w:rsidR="0024384F" w:rsidRPr="00DC799E" w:rsidRDefault="00DC799E" w:rsidP="00DC799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C799E">
        <w:rPr>
          <w:rFonts w:ascii="Verdana" w:hAnsi="Verdana"/>
          <w:sz w:val="18"/>
          <w:szCs w:val="18"/>
        </w:rPr>
        <w:t>Visto, il Guardasigilli: MANCUSO</w:t>
      </w:r>
    </w:p>
    <w:sectPr w:rsidR="0024384F" w:rsidRPr="00DC799E" w:rsidSect="002062E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9E" w:rsidRDefault="00DC799E" w:rsidP="00DC799E">
      <w:pPr>
        <w:spacing w:after="0" w:line="240" w:lineRule="auto"/>
      </w:pPr>
      <w:r>
        <w:separator/>
      </w:r>
    </w:p>
  </w:endnote>
  <w:endnote w:type="continuationSeparator" w:id="0">
    <w:p w:rsidR="00DC799E" w:rsidRDefault="00DC799E" w:rsidP="00D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9E" w:rsidRDefault="00DC799E" w:rsidP="00DC799E">
      <w:pPr>
        <w:spacing w:after="0" w:line="240" w:lineRule="auto"/>
      </w:pPr>
      <w:r>
        <w:separator/>
      </w:r>
    </w:p>
  </w:footnote>
  <w:footnote w:type="continuationSeparator" w:id="0">
    <w:p w:rsidR="00DC799E" w:rsidRDefault="00DC799E" w:rsidP="00DC799E">
      <w:pPr>
        <w:spacing w:after="0" w:line="240" w:lineRule="auto"/>
      </w:pPr>
      <w:r>
        <w:continuationSeparator/>
      </w:r>
    </w:p>
  </w:footnote>
  <w:footnote w:id="1">
    <w:p w:rsidR="00DC799E" w:rsidRPr="00DC799E" w:rsidRDefault="00DC799E" w:rsidP="00DC799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DC799E">
        <w:rPr>
          <w:rStyle w:val="Rimandonotaapidipagina"/>
          <w:rFonts w:ascii="Verdana" w:hAnsi="Verdana"/>
          <w:sz w:val="16"/>
          <w:szCs w:val="16"/>
        </w:rPr>
        <w:footnoteRef/>
      </w:r>
      <w:r w:rsidRPr="00DC799E">
        <w:rPr>
          <w:rFonts w:ascii="Verdana" w:hAnsi="Verdana"/>
          <w:sz w:val="16"/>
          <w:szCs w:val="16"/>
        </w:rPr>
        <w:t xml:space="preserve"> La Corte Costituzionale con sentenza 12 settembre 1995, n. 422</w:t>
      </w:r>
      <w:r>
        <w:rPr>
          <w:rFonts w:ascii="Verdana" w:hAnsi="Verdana"/>
          <w:sz w:val="16"/>
          <w:szCs w:val="16"/>
        </w:rPr>
        <w:t xml:space="preserve"> </w:t>
      </w:r>
      <w:r w:rsidRPr="00DC799E">
        <w:rPr>
          <w:rFonts w:ascii="Verdana" w:hAnsi="Verdana"/>
          <w:sz w:val="16"/>
          <w:szCs w:val="16"/>
        </w:rPr>
        <w:t>(in G.U. 1a ss. 20/09/1995, n. 39</w:t>
      </w:r>
      <w:r>
        <w:rPr>
          <w:rFonts w:ascii="Verdana" w:hAnsi="Verdana"/>
          <w:sz w:val="16"/>
          <w:szCs w:val="16"/>
        </w:rPr>
        <w:t xml:space="preserve">) ha dichiarato l'illegittimità </w:t>
      </w:r>
      <w:r w:rsidRPr="00DC799E">
        <w:rPr>
          <w:rFonts w:ascii="Verdana" w:hAnsi="Verdana"/>
          <w:sz w:val="16"/>
          <w:szCs w:val="16"/>
        </w:rPr>
        <w:t>costituzionale dell'"art. 1, sesto comma, della legge 23 febbraio</w:t>
      </w:r>
      <w:r>
        <w:rPr>
          <w:rFonts w:ascii="Verdana" w:hAnsi="Verdana"/>
          <w:sz w:val="16"/>
          <w:szCs w:val="16"/>
        </w:rPr>
        <w:t xml:space="preserve"> </w:t>
      </w:r>
      <w:r w:rsidRPr="00DC799E">
        <w:rPr>
          <w:rFonts w:ascii="Verdana" w:hAnsi="Verdana"/>
          <w:sz w:val="16"/>
          <w:szCs w:val="16"/>
        </w:rPr>
        <w:t>1995, n. 43 (</w:t>
      </w:r>
      <w:r w:rsidRPr="00DC799E">
        <w:rPr>
          <w:rFonts w:ascii="Verdana" w:hAnsi="Verdana"/>
          <w:i/>
          <w:sz w:val="16"/>
          <w:szCs w:val="16"/>
        </w:rPr>
        <w:t>Nuove norme per la elezione dei consigli delle regioni a statuto ordinario</w:t>
      </w:r>
      <w:r w:rsidRPr="00DC799E">
        <w:rPr>
          <w:rFonts w:ascii="Verdana" w:hAnsi="Verdana"/>
          <w:sz w:val="16"/>
          <w:szCs w:val="16"/>
        </w:rPr>
        <w:t>)"</w:t>
      </w:r>
      <w:r>
        <w:rPr>
          <w:rFonts w:ascii="Verdana" w:hAnsi="Verdana"/>
          <w:sz w:val="16"/>
          <w:szCs w:val="16"/>
        </w:rPr>
        <w:t>.</w:t>
      </w:r>
    </w:p>
  </w:footnote>
  <w:footnote w:id="2">
    <w:p w:rsidR="00035313" w:rsidRPr="00035313" w:rsidRDefault="00035313" w:rsidP="00035313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035313">
        <w:rPr>
          <w:rStyle w:val="Rimandonotaapidipagina"/>
          <w:rFonts w:ascii="Verdana" w:hAnsi="Verdana"/>
          <w:sz w:val="16"/>
          <w:szCs w:val="16"/>
        </w:rPr>
        <w:footnoteRef/>
      </w:r>
      <w:r w:rsidRPr="00035313">
        <w:rPr>
          <w:rFonts w:ascii="Verdana" w:hAnsi="Verdana"/>
          <w:sz w:val="16"/>
          <w:szCs w:val="16"/>
        </w:rPr>
        <w:t xml:space="preserve"> Gli importi di cui al primo e al secondo periodo del presente comma sono stati così</w:t>
      </w:r>
      <w:r>
        <w:rPr>
          <w:rFonts w:ascii="Verdana" w:hAnsi="Verdana"/>
          <w:sz w:val="16"/>
          <w:szCs w:val="16"/>
        </w:rPr>
        <w:t xml:space="preserve"> </w:t>
      </w:r>
      <w:r w:rsidRPr="00035313">
        <w:rPr>
          <w:rFonts w:ascii="Verdana" w:hAnsi="Verdana"/>
          <w:sz w:val="16"/>
          <w:szCs w:val="16"/>
        </w:rPr>
        <w:t>da ultimo rivalutati dall’art. 1 del decreto del Ministro dell’</w:t>
      </w:r>
      <w:r>
        <w:rPr>
          <w:rFonts w:ascii="Verdana" w:hAnsi="Verdana"/>
          <w:sz w:val="16"/>
          <w:szCs w:val="16"/>
        </w:rPr>
        <w:t>i</w:t>
      </w:r>
      <w:r w:rsidRPr="00035313">
        <w:rPr>
          <w:rFonts w:ascii="Verdana" w:hAnsi="Verdana"/>
          <w:sz w:val="16"/>
          <w:szCs w:val="16"/>
        </w:rPr>
        <w:t>nterno 12 marzo 2005,</w:t>
      </w:r>
      <w:r>
        <w:rPr>
          <w:rFonts w:ascii="Verdana" w:hAnsi="Verdana"/>
          <w:sz w:val="16"/>
          <w:szCs w:val="16"/>
        </w:rPr>
        <w:t xml:space="preserve"> </w:t>
      </w:r>
      <w:r w:rsidRPr="00035313">
        <w:rPr>
          <w:rFonts w:ascii="Verdana" w:hAnsi="Verdana"/>
          <w:sz w:val="16"/>
          <w:szCs w:val="16"/>
        </w:rPr>
        <w:t>pubblicato nella Gazzetta Ufficiale n. 65 del 19 marzo 2005.</w:t>
      </w:r>
    </w:p>
  </w:footnote>
  <w:footnote w:id="3">
    <w:p w:rsidR="00035313" w:rsidRPr="00035313" w:rsidRDefault="00035313" w:rsidP="004B3B1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035313">
        <w:rPr>
          <w:rStyle w:val="Rimandonotaapidipagina"/>
          <w:rFonts w:ascii="Verdana" w:hAnsi="Verdana"/>
          <w:sz w:val="16"/>
          <w:szCs w:val="16"/>
        </w:rPr>
        <w:footnoteRef/>
      </w:r>
      <w:r w:rsidRPr="00035313">
        <w:rPr>
          <w:rFonts w:ascii="Verdana" w:hAnsi="Verdana"/>
          <w:sz w:val="16"/>
          <w:szCs w:val="16"/>
        </w:rPr>
        <w:t xml:space="preserve"> L’importo originario in lire deve intendersi ora espresso in euro</w:t>
      </w:r>
      <w:r w:rsidR="004B3B1D" w:rsidRPr="004B3B1D">
        <w:rPr>
          <w:rFonts w:ascii="Verdana" w:hAnsi="Verdana"/>
          <w:sz w:val="16"/>
          <w:szCs w:val="16"/>
        </w:rPr>
        <w:t>, con le regole di</w:t>
      </w:r>
      <w:r w:rsidR="004B3B1D">
        <w:rPr>
          <w:rFonts w:ascii="Verdana" w:hAnsi="Verdana"/>
          <w:sz w:val="16"/>
          <w:szCs w:val="16"/>
        </w:rPr>
        <w:t xml:space="preserve"> </w:t>
      </w:r>
      <w:r w:rsidR="004B3B1D" w:rsidRPr="004B3B1D">
        <w:rPr>
          <w:rFonts w:ascii="Verdana" w:hAnsi="Verdana"/>
          <w:sz w:val="16"/>
          <w:szCs w:val="16"/>
        </w:rPr>
        <w:t>arrotondamento definite dagli artt. 4 e 5 del regolamento del C</w:t>
      </w:r>
      <w:r w:rsidR="004B3B1D">
        <w:rPr>
          <w:rFonts w:ascii="Verdana" w:hAnsi="Verdana"/>
          <w:sz w:val="16"/>
          <w:szCs w:val="16"/>
        </w:rPr>
        <w:t>onsiglio dell’Unio</w:t>
      </w:r>
      <w:r w:rsidR="004B3B1D" w:rsidRPr="004B3B1D">
        <w:rPr>
          <w:rFonts w:ascii="Verdana" w:hAnsi="Verdana"/>
          <w:sz w:val="16"/>
          <w:szCs w:val="16"/>
        </w:rPr>
        <w:t>ne europea n. 1103/97 del 17 giugno 1997 e sulla base del tasso</w:t>
      </w:r>
      <w:r w:rsidR="004B3B1D">
        <w:rPr>
          <w:rFonts w:ascii="Verdana" w:hAnsi="Verdana"/>
          <w:sz w:val="16"/>
          <w:szCs w:val="16"/>
        </w:rPr>
        <w:t xml:space="preserve"> </w:t>
      </w:r>
      <w:r w:rsidR="004B3B1D" w:rsidRPr="004B3B1D">
        <w:rPr>
          <w:rFonts w:ascii="Verdana" w:hAnsi="Verdana"/>
          <w:sz w:val="16"/>
          <w:szCs w:val="16"/>
        </w:rPr>
        <w:t>di conversione</w:t>
      </w:r>
      <w:r w:rsidR="004B3B1D">
        <w:rPr>
          <w:rFonts w:ascii="Verdana" w:hAnsi="Verdana"/>
          <w:sz w:val="16"/>
          <w:szCs w:val="16"/>
        </w:rPr>
        <w:t xml:space="preserve"> </w:t>
      </w:r>
      <w:r w:rsidR="004B3B1D" w:rsidRPr="004B3B1D">
        <w:rPr>
          <w:rFonts w:ascii="Verdana" w:hAnsi="Verdana"/>
          <w:sz w:val="16"/>
          <w:szCs w:val="16"/>
        </w:rPr>
        <w:t>successivamente fissato, anche in relazione al disposto dell’ar</w:t>
      </w:r>
      <w:r w:rsidR="004B3B1D">
        <w:rPr>
          <w:rFonts w:ascii="Verdana" w:hAnsi="Verdana"/>
          <w:sz w:val="16"/>
          <w:szCs w:val="16"/>
        </w:rPr>
        <w:t>t. 4 del decreto legi</w:t>
      </w:r>
      <w:r w:rsidR="004B3B1D" w:rsidRPr="004B3B1D">
        <w:rPr>
          <w:rFonts w:ascii="Verdana" w:hAnsi="Verdana"/>
          <w:sz w:val="16"/>
          <w:szCs w:val="16"/>
        </w:rPr>
        <w:t>slativo 24 giugno 1998, n. 213 (</w:t>
      </w:r>
      <w:r w:rsidR="004B3B1D" w:rsidRPr="004B3B1D">
        <w:rPr>
          <w:rFonts w:ascii="Verdana" w:hAnsi="Verdana"/>
          <w:i/>
          <w:sz w:val="16"/>
          <w:szCs w:val="16"/>
        </w:rPr>
        <w:t>Disposizioni per l’introduzione dell’euro nell’ordinamento nazionale, a norma dell’articolo 1, comma 1, della legge 17 dicembre 1997, n. 433</w:t>
      </w:r>
      <w:r w:rsidR="004B3B1D" w:rsidRPr="004B3B1D">
        <w:rPr>
          <w:rFonts w:ascii="Verdana" w:hAnsi="Verdana"/>
          <w:sz w:val="16"/>
          <w:szCs w:val="16"/>
        </w:rPr>
        <w:t>)</w:t>
      </w:r>
      <w:r w:rsidRPr="00035313">
        <w:rPr>
          <w:rFonts w:ascii="Verdana" w:hAnsi="Verdana"/>
          <w:sz w:val="16"/>
          <w:szCs w:val="16"/>
        </w:rPr>
        <w:t>.</w:t>
      </w:r>
    </w:p>
  </w:footnote>
  <w:footnote w:id="4">
    <w:p w:rsidR="00035313" w:rsidRPr="004B3B1D" w:rsidRDefault="00035313" w:rsidP="00035313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4B3B1D">
        <w:rPr>
          <w:rStyle w:val="Rimandonotaapidipagina"/>
          <w:rFonts w:ascii="Verdana" w:hAnsi="Verdana"/>
          <w:sz w:val="16"/>
          <w:szCs w:val="16"/>
        </w:rPr>
        <w:footnoteRef/>
      </w:r>
      <w:r w:rsidRPr="004B3B1D">
        <w:rPr>
          <w:rFonts w:ascii="Verdana" w:hAnsi="Verdana"/>
          <w:sz w:val="16"/>
          <w:szCs w:val="16"/>
        </w:rPr>
        <w:t xml:space="preserve"> L’art. 8 della legge 10 dicembre 1993, n. 515 è stato successivamente abrogato dall’art. 13, comma 1, della legge 22 febbraio 2000, n.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E"/>
    <w:rsid w:val="00035313"/>
    <w:rsid w:val="002062EE"/>
    <w:rsid w:val="0024384F"/>
    <w:rsid w:val="002830F8"/>
    <w:rsid w:val="00285B71"/>
    <w:rsid w:val="002903C4"/>
    <w:rsid w:val="00373228"/>
    <w:rsid w:val="00464D22"/>
    <w:rsid w:val="004B3B1D"/>
    <w:rsid w:val="00C95244"/>
    <w:rsid w:val="00DC799E"/>
    <w:rsid w:val="00EC2A03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6E45-22AA-4DD4-A787-9B055B2F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5</cp:revision>
  <dcterms:created xsi:type="dcterms:W3CDTF">2014-07-09T11:45:00Z</dcterms:created>
  <dcterms:modified xsi:type="dcterms:W3CDTF">2014-07-10T12:22:00Z</dcterms:modified>
</cp:coreProperties>
</file>