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FB461B">
        <w:rPr>
          <w:rFonts w:ascii="Verdana" w:hAnsi="Verdana"/>
          <w:b/>
          <w:color w:val="4E3F85"/>
          <w:sz w:val="20"/>
          <w:szCs w:val="20"/>
        </w:rPr>
        <w:t xml:space="preserve">LEGGE 25 marzo 1993, n. 81 </w:t>
      </w:r>
    </w:p>
    <w:p w:rsidR="00FB461B" w:rsidRDefault="00FB461B" w:rsidP="00FB461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461B">
        <w:rPr>
          <w:rFonts w:ascii="Verdana" w:hAnsi="Verdana"/>
          <w:sz w:val="20"/>
          <w:szCs w:val="20"/>
        </w:rPr>
        <w:t>Elezione diretta del sindaco, del presidente della provincia, del</w:t>
      </w:r>
      <w:r w:rsidR="00C2424C">
        <w:rPr>
          <w:rFonts w:ascii="Verdana" w:hAnsi="Verdana"/>
          <w:sz w:val="20"/>
          <w:szCs w:val="20"/>
        </w:rPr>
        <w:t xml:space="preserve"> </w:t>
      </w:r>
      <w:r w:rsidRPr="00FB461B">
        <w:rPr>
          <w:rFonts w:ascii="Verdana" w:hAnsi="Verdana"/>
          <w:sz w:val="20"/>
          <w:szCs w:val="20"/>
        </w:rPr>
        <w:t>consiglio comunale e del consiglio provinciale.</w:t>
      </w:r>
    </w:p>
    <w:p w:rsidR="00222839" w:rsidRPr="00FB461B" w:rsidRDefault="00222839" w:rsidP="00FB461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22839" w:rsidRPr="00222839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La Camera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approvato;</w:t>
      </w:r>
    </w:p>
    <w:p w:rsidR="00222839" w:rsidRPr="00222839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IL PRESIDENTE DELLA REPUBBLICA</w:t>
      </w:r>
    </w:p>
    <w:p w:rsidR="00222839" w:rsidRPr="00222839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PROMULGA</w:t>
      </w:r>
    </w:p>
    <w:p w:rsidR="00FB461B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la seguente legge:</w:t>
      </w:r>
    </w:p>
    <w:p w:rsidR="00222839" w:rsidRPr="00FB461B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B461B">
        <w:rPr>
          <w:rFonts w:ascii="Verdana" w:hAnsi="Verdana"/>
          <w:b/>
          <w:i/>
          <w:sz w:val="18"/>
          <w:szCs w:val="18"/>
        </w:rPr>
        <w:t>CAPO 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Elezione degli organi comunali</w:t>
      </w:r>
      <w:r>
        <w:rPr>
          <w:rFonts w:ascii="Verdana" w:hAnsi="Verdana"/>
          <w:i/>
          <w:sz w:val="18"/>
          <w:szCs w:val="18"/>
        </w:rPr>
        <w:t xml:space="preserve"> e</w:t>
      </w:r>
      <w:r w:rsidRPr="00FB461B">
        <w:rPr>
          <w:rFonts w:ascii="Verdana" w:hAnsi="Verdana"/>
          <w:i/>
          <w:sz w:val="18"/>
          <w:szCs w:val="18"/>
        </w:rPr>
        <w:t xml:space="preserve"> provinciali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3. 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Sottoscrizione delle liste 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La dichiarazione di presentazione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consiglio comunale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sindaco per ogni c</w:t>
      </w:r>
      <w:r>
        <w:rPr>
          <w:rFonts w:ascii="Verdana" w:hAnsi="Verdana"/>
          <w:sz w:val="18"/>
          <w:szCs w:val="18"/>
        </w:rPr>
        <w:t>omune deve essere sottoscritta: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a)</w:t>
      </w:r>
      <w:r w:rsidRPr="00FB461B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non meno di 1.000 e da non più</w:t>
      </w:r>
      <w:r w:rsidRPr="00FB461B">
        <w:rPr>
          <w:rFonts w:ascii="Verdana" w:hAnsi="Verdana"/>
          <w:sz w:val="18"/>
          <w:szCs w:val="18"/>
        </w:rPr>
        <w:t xml:space="preserve"> di 1.500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 popolazione super</w:t>
      </w:r>
      <w:r w:rsidR="00641FFE">
        <w:rPr>
          <w:rFonts w:ascii="Verdana" w:hAnsi="Verdana"/>
          <w:sz w:val="18"/>
          <w:szCs w:val="18"/>
        </w:rPr>
        <w:t>iore ad un milione di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 xml:space="preserve"> da non meno di 500 e da non pi</w:t>
      </w:r>
      <w:r>
        <w:rPr>
          <w:rFonts w:ascii="Verdana" w:hAnsi="Verdana"/>
          <w:sz w:val="18"/>
          <w:szCs w:val="18"/>
        </w:rPr>
        <w:t>ù</w:t>
      </w:r>
      <w:r w:rsidRPr="00FB461B">
        <w:rPr>
          <w:rFonts w:ascii="Verdana" w:hAnsi="Verdana"/>
          <w:sz w:val="18"/>
          <w:szCs w:val="18"/>
        </w:rPr>
        <w:t xml:space="preserve"> di 1.000 elettori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 popolazione compresa tra 50</w:t>
      </w:r>
      <w:r w:rsidR="00641FFE">
        <w:rPr>
          <w:rFonts w:ascii="Verdana" w:hAnsi="Verdana"/>
          <w:sz w:val="18"/>
          <w:szCs w:val="18"/>
        </w:rPr>
        <w:t>0.001 e un milione di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c)</w:t>
      </w:r>
      <w:r w:rsidRPr="00FB46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non meno di 350 e da non più</w:t>
      </w:r>
      <w:r w:rsidRPr="00FB461B">
        <w:rPr>
          <w:rFonts w:ascii="Verdana" w:hAnsi="Verdana"/>
          <w:sz w:val="18"/>
          <w:szCs w:val="18"/>
        </w:rPr>
        <w:t xml:space="preserve"> di 700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popolazione compresa </w:t>
      </w:r>
      <w:r w:rsidR="00641FFE">
        <w:rPr>
          <w:rFonts w:ascii="Verdana" w:hAnsi="Verdana"/>
          <w:sz w:val="18"/>
          <w:szCs w:val="18"/>
        </w:rPr>
        <w:t>tra 100.001 e 500.000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d)</w:t>
      </w:r>
      <w:r w:rsidRPr="00FB46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non meno di 200 e da non più</w:t>
      </w:r>
      <w:r w:rsidRPr="00FB461B">
        <w:rPr>
          <w:rFonts w:ascii="Verdana" w:hAnsi="Verdana"/>
          <w:sz w:val="18"/>
          <w:szCs w:val="18"/>
        </w:rPr>
        <w:t xml:space="preserve"> di 400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compresa</w:t>
      </w:r>
      <w:r w:rsidR="00641FFE">
        <w:rPr>
          <w:rFonts w:ascii="Verdana" w:hAnsi="Verdana"/>
          <w:sz w:val="18"/>
          <w:szCs w:val="18"/>
        </w:rPr>
        <w:t xml:space="preserve"> tra 40.001 e 100.000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e)</w:t>
      </w:r>
      <w:r w:rsidRPr="00FB461B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a non meno di 175 e da non più</w:t>
      </w:r>
      <w:r w:rsidRPr="00FB461B">
        <w:rPr>
          <w:rFonts w:ascii="Verdana" w:hAnsi="Verdana"/>
          <w:sz w:val="18"/>
          <w:szCs w:val="18"/>
        </w:rPr>
        <w:t xml:space="preserve"> di 350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</w:t>
      </w:r>
      <w:r w:rsidR="00641FFE">
        <w:rPr>
          <w:rFonts w:ascii="Verdana" w:hAnsi="Verdana"/>
          <w:sz w:val="18"/>
          <w:szCs w:val="18"/>
        </w:rPr>
        <w:t>a tra 20.001 e 40.000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f)</w:t>
      </w:r>
      <w:r w:rsidRPr="00FB46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non meno di 100 e da non più</w:t>
      </w:r>
      <w:r w:rsidRPr="00FB461B">
        <w:rPr>
          <w:rFonts w:ascii="Verdana" w:hAnsi="Verdana"/>
          <w:sz w:val="18"/>
          <w:szCs w:val="18"/>
        </w:rPr>
        <w:t xml:space="preserve"> di 200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compresa tra 10.001 e 20.000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g)</w:t>
      </w:r>
      <w:r w:rsidRPr="00FB461B">
        <w:rPr>
          <w:rFonts w:ascii="Verdana" w:hAnsi="Verdana"/>
          <w:sz w:val="18"/>
          <w:szCs w:val="18"/>
        </w:rPr>
        <w:t xml:space="preserve"> da non meno d</w:t>
      </w:r>
      <w:r>
        <w:rPr>
          <w:rFonts w:ascii="Verdana" w:hAnsi="Verdana"/>
          <w:sz w:val="18"/>
          <w:szCs w:val="18"/>
        </w:rPr>
        <w:t>i 60 e da non più</w:t>
      </w:r>
      <w:r w:rsidRPr="00FB461B">
        <w:rPr>
          <w:rFonts w:ascii="Verdana" w:hAnsi="Verdana"/>
          <w:sz w:val="18"/>
          <w:szCs w:val="18"/>
        </w:rPr>
        <w:t xml:space="preserve"> di 120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</w:t>
      </w:r>
      <w:r w:rsidR="00641FFE">
        <w:rPr>
          <w:rFonts w:ascii="Verdana" w:hAnsi="Verdana"/>
          <w:sz w:val="18"/>
          <w:szCs w:val="18"/>
        </w:rPr>
        <w:t>sa tra 5.001 e 10.000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da non meno di 30 e da non più</w:t>
      </w:r>
      <w:r w:rsidRPr="00FB461B">
        <w:rPr>
          <w:rFonts w:ascii="Verdana" w:hAnsi="Verdana"/>
          <w:sz w:val="18"/>
          <w:szCs w:val="18"/>
        </w:rPr>
        <w:t xml:space="preserve"> di 60 elettori 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</w:t>
      </w:r>
      <w:r w:rsidR="00641FFE">
        <w:rPr>
          <w:rFonts w:ascii="Verdana" w:hAnsi="Verdana"/>
          <w:sz w:val="18"/>
          <w:szCs w:val="18"/>
        </w:rPr>
        <w:t>esa tra 2.001 e 5.000 abitanti;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i)</w:t>
      </w:r>
      <w:r w:rsidRPr="00FB461B">
        <w:rPr>
          <w:rFonts w:ascii="Verdana" w:hAnsi="Verdana"/>
          <w:sz w:val="18"/>
          <w:szCs w:val="18"/>
        </w:rPr>
        <w:t xml:space="preserve"> da non meno di 25 e da non p</w:t>
      </w:r>
      <w:r>
        <w:rPr>
          <w:rFonts w:ascii="Verdana" w:hAnsi="Verdana"/>
          <w:sz w:val="18"/>
          <w:szCs w:val="18"/>
        </w:rPr>
        <w:t>iù</w:t>
      </w:r>
      <w:r w:rsidRPr="00FB461B">
        <w:rPr>
          <w:rFonts w:ascii="Verdana" w:hAnsi="Verdana"/>
          <w:sz w:val="18"/>
          <w:szCs w:val="18"/>
        </w:rPr>
        <w:t xml:space="preserve"> di 50 elettori 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compresa tra 1.000 e 2.000 abitanti.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 xml:space="preserve">è </w:t>
      </w:r>
      <w:r w:rsidRPr="00FB461B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presentazione delle liste 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1.000 abitanti.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All'atto della presentazione della lista, ciascun candidato 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aver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accettato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candidatura in altro comune.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Per la raccolta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quanto compatibili 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20,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comma, del testo unico delle leggi recanti norme per l'elezione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Repubblica 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eseguire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sottoscrizione delle liste, oltre ai soggetti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 legge 21 marzo 1990, n. 53, i giudici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pace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giudiziari.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La lettera </w:t>
      </w:r>
      <w:r w:rsidRPr="00965F5A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 xml:space="preserve"> del primo comma dell'articolo 1 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3 maggio 1976, n. 161, convertito, con modificazioni, dalla 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maggio 1976, n. 240, come modificata dall'articolo 12, comma 3,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 21 marzo 1990</w:t>
      </w:r>
      <w:r>
        <w:rPr>
          <w:rFonts w:ascii="Verdana" w:hAnsi="Verdana"/>
          <w:sz w:val="18"/>
          <w:szCs w:val="18"/>
        </w:rPr>
        <w:t>, n. 53, è</w:t>
      </w:r>
      <w:r w:rsidRPr="00FB461B">
        <w:rPr>
          <w:rFonts w:ascii="Verdana" w:hAnsi="Verdana"/>
          <w:sz w:val="18"/>
          <w:szCs w:val="18"/>
        </w:rPr>
        <w:t xml:space="preserve"> abrogata. 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4.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>Fissazione della data</w:t>
      </w:r>
      <w:r w:rsidR="00222839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>di svolgimento delle elezioni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L'articolo 3 della legge 7 giugno 1991, 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182,</w:t>
      </w:r>
      <w:r>
        <w:rPr>
          <w:rFonts w:ascii="Verdana" w:hAnsi="Verdana"/>
          <w:sz w:val="18"/>
          <w:szCs w:val="18"/>
        </w:rPr>
        <w:t xml:space="preserve"> è </w:t>
      </w:r>
      <w:r w:rsidRPr="00FB461B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 seguente:</w:t>
      </w:r>
    </w:p>
    <w:p w:rsidR="00641FFE" w:rsidRDefault="00641FFE" w:rsidP="00641FF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"Art. 3.</w:t>
      </w:r>
    </w:p>
    <w:p w:rsidR="00FB461B" w:rsidRPr="00FB461B" w:rsidRDefault="00641FFE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FB461B" w:rsidRPr="00FB461B">
        <w:rPr>
          <w:rFonts w:ascii="Verdana" w:hAnsi="Verdana"/>
          <w:sz w:val="18"/>
          <w:szCs w:val="18"/>
        </w:rPr>
        <w:t>La data per lo svolgimento delle elezioni di cui agli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articoli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1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e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2</w:t>
      </w:r>
      <w:r w:rsidR="00FB461B">
        <w:rPr>
          <w:rFonts w:ascii="Verdana" w:hAnsi="Verdana"/>
          <w:sz w:val="18"/>
          <w:szCs w:val="18"/>
        </w:rPr>
        <w:t xml:space="preserve"> è </w:t>
      </w:r>
      <w:r w:rsidR="00FB461B" w:rsidRPr="00FB461B">
        <w:rPr>
          <w:rFonts w:ascii="Verdana" w:hAnsi="Verdana"/>
          <w:sz w:val="18"/>
          <w:szCs w:val="18"/>
        </w:rPr>
        <w:t>fissata dal Ministro dell'interno non oltre il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cinquantacinquesimo giorno precedente quello della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votazione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ed</w:t>
      </w:r>
      <w:r w:rsidR="00FB461B">
        <w:rPr>
          <w:rFonts w:ascii="Verdana" w:hAnsi="Verdana"/>
          <w:sz w:val="18"/>
          <w:szCs w:val="18"/>
        </w:rPr>
        <w:t xml:space="preserve"> è </w:t>
      </w:r>
      <w:r w:rsidR="00FB461B" w:rsidRPr="00FB461B">
        <w:rPr>
          <w:rFonts w:ascii="Verdana" w:hAnsi="Verdana"/>
          <w:sz w:val="18"/>
          <w:szCs w:val="18"/>
        </w:rPr>
        <w:t>comunicata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immediatamente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ai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prefetti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pe</w:t>
      </w:r>
      <w:r w:rsidR="00FB461B">
        <w:rPr>
          <w:rFonts w:ascii="Verdana" w:hAnsi="Verdana"/>
          <w:sz w:val="18"/>
          <w:szCs w:val="18"/>
        </w:rPr>
        <w:t xml:space="preserve">rché </w:t>
      </w:r>
      <w:r w:rsidR="00FB461B" w:rsidRPr="00FB461B">
        <w:rPr>
          <w:rFonts w:ascii="Verdana" w:hAnsi="Verdana"/>
          <w:sz w:val="18"/>
          <w:szCs w:val="18"/>
        </w:rPr>
        <w:t>provvedano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alla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convocazione dei comizi ed agli altri adempimenti di loro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competenza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previsti dalla legge".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5.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6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7.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7-bis.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</w:t>
      </w:r>
      <w:r w:rsidR="001C4E3B">
        <w:rPr>
          <w:rFonts w:ascii="Verdana" w:hAnsi="Verdana"/>
          <w:i/>
          <w:sz w:val="18"/>
          <w:szCs w:val="18"/>
        </w:rPr>
        <w:t>brogato dal D.L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9.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10.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Elezione dei consigli circoscrizionali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1C4E3B">
        <w:rPr>
          <w:rFonts w:ascii="Verdana" w:hAnsi="Verdana"/>
          <w:i/>
          <w:sz w:val="18"/>
          <w:szCs w:val="18"/>
        </w:rPr>
        <w:t>Abrogato dal D.L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Fino all'approvazione delle modifiche statutarie conseguenti, ai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sensi dell'articolo 33 della presente legge, 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 l'elezione dei consigli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15.000 abitanti. 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11.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>Durata delle operazioni di voto e di scrutinio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operazioni di voto per le elezioni del sindaco, del consiglio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comunale, del presidente della provincia e del consiglio provinciale,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ai sensi degli articoli 51 e 52 del testo unico 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comunali, di cui al 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1960, n. 570, si svolgono,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votazione, sia in caso di ballottaggio, dalle ore 8 alle ore 22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domenica e dal</w:t>
      </w:r>
      <w:r>
        <w:rPr>
          <w:rFonts w:ascii="Verdana" w:hAnsi="Verdana"/>
          <w:sz w:val="18"/>
          <w:szCs w:val="18"/>
        </w:rPr>
        <w:t>le ore 7 alle ore 15 del lunedì</w:t>
      </w:r>
      <w:r w:rsidR="00641FFE">
        <w:rPr>
          <w:rFonts w:ascii="Verdana" w:hAnsi="Verdana"/>
          <w:sz w:val="18"/>
          <w:szCs w:val="18"/>
        </w:rPr>
        <w:t xml:space="preserve"> successivo</w:t>
      </w:r>
      <w:r w:rsidR="00222839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641FFE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Dichiarata chiusa la votazione, il presidente 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aver proceduto ad effettuare le operazioni previste dall'articolo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53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 citato testo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Repubblica n. 570 del 1960, d</w:t>
      </w:r>
      <w:r>
        <w:rPr>
          <w:rFonts w:ascii="Verdana" w:hAnsi="Verdana"/>
          <w:sz w:val="18"/>
          <w:szCs w:val="18"/>
        </w:rPr>
        <w:t>à</w:t>
      </w:r>
      <w:r w:rsidRPr="00FB461B">
        <w:rPr>
          <w:rFonts w:ascii="Verdana" w:hAnsi="Verdana"/>
          <w:sz w:val="18"/>
          <w:szCs w:val="18"/>
        </w:rPr>
        <w:t xml:space="preserve"> inizio alle operazioni per lo spoglio</w:t>
      </w:r>
      <w:r>
        <w:rPr>
          <w:rFonts w:ascii="Verdana" w:hAnsi="Verdana"/>
          <w:sz w:val="18"/>
          <w:szCs w:val="18"/>
        </w:rPr>
        <w:t xml:space="preserve"> delle schede</w:t>
      </w:r>
      <w:r w:rsidRPr="00FB461B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B461B">
        <w:rPr>
          <w:rFonts w:ascii="Verdana" w:hAnsi="Verdana"/>
          <w:b/>
          <w:i/>
          <w:sz w:val="18"/>
          <w:szCs w:val="18"/>
        </w:rPr>
        <w:t>CAPO II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Competenze degli organi comunali e provinciali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</w:t>
      </w:r>
      <w:r w:rsidR="001C4E3B">
        <w:rPr>
          <w:rFonts w:ascii="Verdana" w:hAnsi="Verdana"/>
          <w:i/>
          <w:sz w:val="18"/>
          <w:szCs w:val="18"/>
        </w:rPr>
        <w:t>dal D.L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</w:p>
    <w:p w:rsidR="00FB461B" w:rsidRPr="001C4E3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1C4E3B">
        <w:rPr>
          <w:rFonts w:ascii="Verdana" w:hAnsi="Verdana"/>
          <w:i/>
          <w:sz w:val="18"/>
          <w:szCs w:val="18"/>
        </w:rPr>
        <w:t xml:space="preserve">Abrogato dal </w:t>
      </w:r>
      <w:r w:rsidR="001C4E3B" w:rsidRPr="001C4E3B">
        <w:rPr>
          <w:rFonts w:ascii="Verdana" w:hAnsi="Verdana"/>
          <w:i/>
          <w:sz w:val="18"/>
          <w:szCs w:val="18"/>
        </w:rPr>
        <w:t>D.L</w:t>
      </w:r>
      <w:r w:rsidRPr="001C4E3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19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20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21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 xml:space="preserve">gs. 18 agosto 2000, n. 267 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22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23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24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25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26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27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B461B">
        <w:rPr>
          <w:rFonts w:ascii="Verdana" w:hAnsi="Verdana"/>
          <w:b/>
          <w:i/>
          <w:sz w:val="18"/>
          <w:szCs w:val="18"/>
        </w:rPr>
        <w:t>CAPO III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Norme sulla campagna elettorale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28.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dalla L</w:t>
      </w:r>
      <w:r w:rsidR="00FB461B" w:rsidRPr="00FB461B">
        <w:rPr>
          <w:rFonts w:ascii="Verdana" w:hAnsi="Verdana"/>
          <w:i/>
          <w:sz w:val="18"/>
          <w:szCs w:val="18"/>
        </w:rPr>
        <w:t>. 10 dicembre 1993, n. 515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29.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Propaganda elettorale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trentesimo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elezioni, la propaganda elettorale per il voto a liste,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 carica di sindaco e di presidente della provincia,</w:t>
      </w:r>
      <w:r>
        <w:rPr>
          <w:rFonts w:ascii="Verdana" w:hAnsi="Verdana"/>
          <w:sz w:val="18"/>
          <w:szCs w:val="18"/>
        </w:rPr>
        <w:t xml:space="preserve"> nonché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consigliere comunale o provinciale a mezzo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scritti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murali, stampati murali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murali</w:t>
      </w:r>
      <w:r>
        <w:rPr>
          <w:rFonts w:ascii="Verdana" w:hAnsi="Verdana"/>
          <w:sz w:val="18"/>
          <w:szCs w:val="18"/>
        </w:rPr>
        <w:t xml:space="preserve"> è </w:t>
      </w:r>
      <w:r w:rsidRPr="00FB461B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consentiti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1956,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212,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modificazioni; </w:t>
      </w:r>
      <w:r>
        <w:rPr>
          <w:rFonts w:ascii="Verdana" w:hAnsi="Verdana"/>
          <w:sz w:val="18"/>
          <w:szCs w:val="18"/>
        </w:rPr>
        <w:t>è</w:t>
      </w:r>
      <w:r w:rsidRPr="00FB461B">
        <w:rPr>
          <w:rFonts w:ascii="Verdana" w:hAnsi="Verdana"/>
          <w:sz w:val="18"/>
          <w:szCs w:val="18"/>
        </w:rPr>
        <w:t xml:space="preserve"> invece vietata la propaganda elettorale a mezzo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inserzioni pubblicitarie su quotidiani o periodici, spot pubblicitari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e ogni altra forma di trasmissioni pubblicitarie radiotelevisive. 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Non rientrano nel divieto di cui al comma 1: 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lastRenderedPageBreak/>
        <w:t>a)</w:t>
      </w:r>
      <w:r w:rsidRPr="00FB461B">
        <w:rPr>
          <w:rFonts w:ascii="Verdana" w:hAnsi="Verdana"/>
          <w:sz w:val="18"/>
          <w:szCs w:val="18"/>
        </w:rPr>
        <w:t xml:space="preserve"> gli annunci di dibattiti, tavole rotonde, conferenze, discorsi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sz w:val="18"/>
          <w:szCs w:val="18"/>
        </w:rPr>
        <w:t>interventi comunque denominati;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 xml:space="preserve"> le pubblicazioni di presentazione dei candidati alla carica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sindaco o di presidente della provincia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partecipanti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alla consultazione elettorale;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illustrazione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elettorali.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Tutte le pubblicazioni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scritti, stampa o fotostampa, radio, televisione, incisione magnetica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ed ogni altro mezzo di divulgazione, debbono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committente responsabile.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spese sostenute dal comune per la rimozione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abusiva nelle forme di scritti o affissioni murali e di volantinaggio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sono a carico, in solido, dell'esecutore materiale e 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committente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responsabile.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In caso di inosservanza delle norme di cui al comma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prescrizioni delle autorità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vigenti in materia per le elezioni alla Camera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Senato della Repubblica. Chiunque contravviene alle restanti norme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cui al presente articolo </w:t>
      </w:r>
      <w:r>
        <w:rPr>
          <w:rFonts w:ascii="Verdana" w:hAnsi="Verdana"/>
          <w:sz w:val="18"/>
          <w:szCs w:val="18"/>
        </w:rPr>
        <w:t>è</w:t>
      </w:r>
      <w:r w:rsidRPr="00FB461B">
        <w:rPr>
          <w:rFonts w:ascii="Verdana" w:hAnsi="Verdana"/>
          <w:sz w:val="18"/>
          <w:szCs w:val="18"/>
        </w:rPr>
        <w:t xml:space="preserve"> punito con la multa </w:t>
      </w:r>
      <w:r w:rsidR="001B4126">
        <w:rPr>
          <w:rFonts w:ascii="Verdana" w:hAnsi="Verdana"/>
          <w:sz w:val="18"/>
          <w:szCs w:val="18"/>
        </w:rPr>
        <w:t>da euro 516 a euro 25.822</w:t>
      </w:r>
      <w:r w:rsidR="001B4126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1B4126">
        <w:rPr>
          <w:rFonts w:ascii="Verdana" w:hAnsi="Verdana"/>
          <w:sz w:val="18"/>
          <w:szCs w:val="18"/>
        </w:rPr>
        <w:t xml:space="preserve"> [</w:t>
      </w:r>
      <w:r w:rsidRPr="00FB461B">
        <w:rPr>
          <w:rFonts w:ascii="Verdana" w:hAnsi="Verdana"/>
          <w:sz w:val="18"/>
          <w:szCs w:val="18"/>
        </w:rPr>
        <w:t>da lire un milione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lire cinquanta milioni</w:t>
      </w:r>
      <w:r w:rsidR="001B4126">
        <w:rPr>
          <w:rFonts w:ascii="Verdana" w:hAnsi="Verdana"/>
          <w:sz w:val="18"/>
          <w:szCs w:val="18"/>
        </w:rPr>
        <w:t>]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FB461B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 xml:space="preserve">È </w:t>
      </w:r>
      <w:r w:rsidRPr="00FB461B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svolgere attività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genere,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ncorché </w:t>
      </w:r>
      <w:r w:rsidRPr="00FB461B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attività </w:t>
      </w:r>
      <w:r w:rsidRPr="00FB461B">
        <w:rPr>
          <w:rFonts w:ascii="Verdana" w:hAnsi="Verdana"/>
          <w:sz w:val="18"/>
          <w:szCs w:val="18"/>
        </w:rPr>
        <w:t>istituzionale,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antecedenti l'inizio della campagna elettorale e per tutta 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della stessa.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I divieti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ufficiali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politici, nonché</w:t>
      </w:r>
      <w:r w:rsidRPr="00FB461B">
        <w:rPr>
          <w:rFonts w:ascii="Verdana" w:hAnsi="Verdana"/>
          <w:sz w:val="18"/>
          <w:szCs w:val="18"/>
        </w:rPr>
        <w:t xml:space="preserve"> alle stampe elettorali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impegnati</w:t>
      </w:r>
      <w:r>
        <w:rPr>
          <w:rFonts w:ascii="Verdana" w:hAnsi="Verdana"/>
          <w:sz w:val="18"/>
          <w:szCs w:val="18"/>
        </w:rPr>
        <w:t xml:space="preserve"> nella competizione elettorale.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30.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Pubblicit</w:t>
      </w:r>
      <w:r w:rsidR="00C2424C" w:rsidRPr="00C2424C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 xml:space="preserve"> delle spese elettorali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Salvo quanto stabilito dalla legge, gli statuti ed i regolamenti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 comuni con popolazione superiore a 10.000 abitanti e delle</w:t>
      </w:r>
      <w:r>
        <w:rPr>
          <w:rFonts w:ascii="Verdana" w:hAnsi="Verdana"/>
          <w:sz w:val="18"/>
          <w:szCs w:val="18"/>
        </w:rPr>
        <w:t xml:space="preserve"> </w:t>
      </w:r>
      <w:r w:rsidR="00C2424C">
        <w:rPr>
          <w:rFonts w:ascii="Verdana" w:hAnsi="Verdana"/>
          <w:sz w:val="18"/>
          <w:szCs w:val="18"/>
        </w:rPr>
        <w:t>prov</w:t>
      </w:r>
      <w:r w:rsidRPr="00FB461B">
        <w:rPr>
          <w:rFonts w:ascii="Verdana" w:hAnsi="Verdana"/>
          <w:sz w:val="18"/>
          <w:szCs w:val="18"/>
        </w:rPr>
        <w:t>ince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disciplinano la dichiarazione preventiva ed il rendiconto delle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spese per la campagna elettorale dei 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elezioni locali.</w:t>
      </w:r>
    </w:p>
    <w:p w:rsidR="00FB461B" w:rsidRPr="00FB461B" w:rsidRDefault="00FB461B" w:rsidP="001B41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 50.000 abitanti, il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essere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accompagnato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presentazione di un bilancio preventivo di spesa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cui le liste ed i candidati intendono vincolarsi. Tale documento deve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essere reso pubblico tramite affissione all'albo pretorio del comune.</w:t>
      </w:r>
      <w:r w:rsidR="001B4126">
        <w:rPr>
          <w:rFonts w:ascii="Verdana" w:hAnsi="Verdana"/>
          <w:sz w:val="18"/>
          <w:szCs w:val="18"/>
        </w:rPr>
        <w:t xml:space="preserve"> 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Allo </w:t>
      </w:r>
      <w:r w:rsidR="00C2424C">
        <w:rPr>
          <w:rFonts w:ascii="Verdana" w:hAnsi="Verdana"/>
          <w:sz w:val="18"/>
          <w:szCs w:val="18"/>
        </w:rPr>
        <w:t>stesso modo deve essere altresì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reso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pubblico,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trenta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campagna elettorale, il rendiconto delle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spese dei candidati e delle liste.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C2424C">
        <w:rPr>
          <w:rFonts w:ascii="Verdana" w:hAnsi="Verdana"/>
          <w:b/>
          <w:i/>
          <w:sz w:val="18"/>
          <w:szCs w:val="18"/>
        </w:rPr>
        <w:t>CAPO IV</w:t>
      </w:r>
    </w:p>
    <w:p w:rsidR="00FB461B" w:rsidRPr="00C2424C" w:rsidRDefault="00C2424C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2424C">
        <w:rPr>
          <w:rFonts w:ascii="Verdana" w:hAnsi="Verdana"/>
          <w:i/>
          <w:sz w:val="18"/>
          <w:szCs w:val="18"/>
        </w:rPr>
        <w:t>Norme transitorie e finali</w:t>
      </w: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2424C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31 </w:t>
      </w:r>
    </w:p>
    <w:p w:rsidR="00FB461B" w:rsidRPr="00C2424C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C2424C" w:rsidRPr="00C2424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C2424C" w:rsidRPr="00C2424C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32.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Prima applicazione delle norme sulle competenze</w:t>
      </w:r>
      <w:r w:rsidR="00222839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degli organi comunali e provinciali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</w:t>
      </w:r>
      <w:r w:rsidR="00C2424C">
        <w:rPr>
          <w:rFonts w:ascii="Verdana" w:hAnsi="Verdana"/>
          <w:sz w:val="18"/>
          <w:szCs w:val="18"/>
        </w:rPr>
        <w:t>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disposizioni di cui 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ciascun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partire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dalle prime elezioni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effettuate ai sensi della presente legge.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33.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Adeguamento degli statuti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I comuni e le province adeguano il proprio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nuove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entro dodici mesi dalla data di entrata in vigore della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statutarie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contrasto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 legge sono da considerarsi prive di ogni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effetto.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34. 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 xml:space="preserve">Abrogazione di norme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Sono abrogati gli articoli 2, primo comma, 4,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28,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primo e secondo comma; 29, 32, primo e sesto comma; 36, 55,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56,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57,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primo, secondo e terzo comma; 58,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comma;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64,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secondo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comma, numero </w:t>
      </w:r>
      <w:r w:rsidRPr="00965F5A">
        <w:rPr>
          <w:rFonts w:ascii="Verdana" w:hAnsi="Verdana"/>
          <w:i/>
          <w:sz w:val="18"/>
          <w:szCs w:val="18"/>
        </w:rPr>
        <w:t>3)</w:t>
      </w:r>
      <w:r w:rsidRPr="00FB461B">
        <w:rPr>
          <w:rFonts w:ascii="Verdana" w:hAnsi="Verdana"/>
          <w:sz w:val="18"/>
          <w:szCs w:val="18"/>
        </w:rPr>
        <w:t>, e terzo comma; 65,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72,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quinto,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sesto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settimo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comma; e 73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elezione degli organi delle amministrazioni comunali,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successive modificazioni.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Sono abrogati gli articoli 4, 5, 6 e 19,</w:t>
      </w:r>
      <w:r>
        <w:rPr>
          <w:rFonts w:ascii="Verdana" w:hAnsi="Verdana"/>
          <w:sz w:val="18"/>
          <w:szCs w:val="18"/>
        </w:rPr>
        <w:t xml:space="preserve"> </w:t>
      </w:r>
      <w:r w:rsidR="00C2424C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quarto all'ottavo dell'articolo 23 della legge 8 marzo 1951, 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122,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come sostituito dall'articolo 10 della legge 10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n.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962.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3.</w:t>
      </w:r>
      <w:r w:rsidR="00C2424C">
        <w:rPr>
          <w:rFonts w:ascii="Verdana" w:hAnsi="Verdana"/>
          <w:sz w:val="18"/>
          <w:szCs w:val="18"/>
        </w:rPr>
        <w:tab/>
        <w:t>È</w:t>
      </w:r>
      <w:r w:rsidRPr="00FB461B">
        <w:rPr>
          <w:rFonts w:ascii="Verdana" w:hAnsi="Verdana"/>
          <w:sz w:val="18"/>
          <w:szCs w:val="18"/>
        </w:rPr>
        <w:t xml:space="preserve"> abrogato il primo periodo del comma 1 dell'articolo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 7 giug</w:t>
      </w:r>
      <w:r w:rsidR="00C2424C">
        <w:rPr>
          <w:rFonts w:ascii="Verdana" w:hAnsi="Verdana"/>
          <w:sz w:val="18"/>
          <w:szCs w:val="18"/>
        </w:rPr>
        <w:t>no 1991, n. 182.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4.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Con effetto dalla data di entrata in vigore della presente legge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abrogate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essa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incompatibili, salvo che la legge stessa preveda tempi diversi per 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cessazione della loro efficacia.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5.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 il Governo emana un testo unico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riunisce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coordina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organi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comunali e provinciali</w:t>
      </w:r>
      <w:r w:rsidR="00C2424C">
        <w:rPr>
          <w:rStyle w:val="Rimandonotaapidipagina"/>
          <w:rFonts w:ascii="Verdana" w:hAnsi="Verdana"/>
          <w:sz w:val="18"/>
          <w:szCs w:val="18"/>
        </w:rPr>
        <w:footnoteReference w:id="4"/>
      </w:r>
      <w:r w:rsidR="00C2424C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6.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emana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sensi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dell'articolo 17, comma 1, lettera </w:t>
      </w:r>
      <w:r w:rsidRPr="00965F5A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>, della legge 23 agosto 1988, n.</w:t>
      </w:r>
      <w:r w:rsidR="00C2424C">
        <w:rPr>
          <w:rFonts w:ascii="Verdana" w:hAnsi="Verdana"/>
          <w:sz w:val="18"/>
          <w:szCs w:val="18"/>
        </w:rPr>
        <w:t xml:space="preserve"> </w:t>
      </w:r>
      <w:r w:rsidR="001B4126">
        <w:rPr>
          <w:rFonts w:ascii="Verdana" w:hAnsi="Verdana"/>
          <w:sz w:val="18"/>
          <w:szCs w:val="18"/>
        </w:rPr>
        <w:t>400</w:t>
      </w:r>
      <w:r w:rsidR="001B4126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1B4126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35.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Applicazione della legge nelle regioni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a statuto speciale e nelle province autonome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disposizioni della presente legge si applicano alle regioni 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statuto speciale ed alle province autonome di Trento e di Bolzano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quanto compatibili con le attribuzioni ad esse spettanti in base agli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statuti ed alle relative norme di attuazione.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36.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Entrata in vigore</w:t>
      </w:r>
    </w:p>
    <w:p w:rsidR="00E84F39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quello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Gazzetta Ufficiale della Repubblica</w:t>
      </w:r>
      <w:r w:rsidR="00C2424C">
        <w:rPr>
          <w:rFonts w:ascii="Verdana" w:hAnsi="Verdana"/>
          <w:sz w:val="18"/>
          <w:szCs w:val="18"/>
        </w:rPr>
        <w:t xml:space="preserve"> italiana.</w:t>
      </w:r>
    </w:p>
    <w:p w:rsidR="002D79B3" w:rsidRPr="002D79B3" w:rsidRDefault="002D79B3" w:rsidP="005B3F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2D79B3">
        <w:rPr>
          <w:rFonts w:ascii="Verdana" w:hAnsi="Verdana"/>
          <w:sz w:val="18"/>
          <w:szCs w:val="18"/>
        </w:rPr>
        <w:t xml:space="preserve"> 25 marzo 1993</w:t>
      </w:r>
    </w:p>
    <w:p w:rsidR="002D79B3" w:rsidRPr="002D79B3" w:rsidRDefault="002D79B3" w:rsidP="00F05E5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2D79B3">
        <w:rPr>
          <w:rFonts w:ascii="Verdana" w:hAnsi="Verdana"/>
          <w:sz w:val="18"/>
          <w:szCs w:val="18"/>
        </w:rPr>
        <w:t>SCALFARO</w:t>
      </w:r>
    </w:p>
    <w:p w:rsidR="002D79B3" w:rsidRPr="002D79B3" w:rsidRDefault="002D79B3" w:rsidP="005B3FE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2D79B3">
        <w:rPr>
          <w:rFonts w:ascii="Verdana" w:hAnsi="Verdana"/>
          <w:sz w:val="18"/>
          <w:szCs w:val="18"/>
        </w:rPr>
        <w:t>AMAT</w:t>
      </w:r>
      <w:r>
        <w:rPr>
          <w:rFonts w:ascii="Verdana" w:hAnsi="Verdana"/>
          <w:sz w:val="18"/>
          <w:szCs w:val="18"/>
        </w:rPr>
        <w:t xml:space="preserve">O, Presidente del Consiglio dei </w:t>
      </w:r>
      <w:r w:rsidRPr="002D79B3">
        <w:rPr>
          <w:rFonts w:ascii="Verdana" w:hAnsi="Verdana"/>
          <w:sz w:val="18"/>
          <w:szCs w:val="18"/>
        </w:rPr>
        <w:t>Ministri</w:t>
      </w:r>
    </w:p>
    <w:p w:rsidR="002D79B3" w:rsidRPr="00FB461B" w:rsidRDefault="002D79B3" w:rsidP="002D79B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D79B3">
        <w:rPr>
          <w:rFonts w:ascii="Verdana" w:hAnsi="Verdana"/>
          <w:sz w:val="18"/>
          <w:szCs w:val="18"/>
        </w:rPr>
        <w:t>Visto, il Guardasigilli: CONSO</w:t>
      </w:r>
    </w:p>
    <w:sectPr w:rsidR="002D79B3" w:rsidRPr="00FB461B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1B" w:rsidRDefault="00FB461B" w:rsidP="00FB461B">
      <w:pPr>
        <w:spacing w:after="0" w:line="240" w:lineRule="auto"/>
      </w:pPr>
      <w:r>
        <w:separator/>
      </w:r>
    </w:p>
  </w:endnote>
  <w:endnote w:type="continuationSeparator" w:id="0">
    <w:p w:rsidR="00FB461B" w:rsidRDefault="00FB461B" w:rsidP="00FB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1B" w:rsidRDefault="00FB461B" w:rsidP="00FB461B">
      <w:pPr>
        <w:spacing w:after="0" w:line="240" w:lineRule="auto"/>
      </w:pPr>
      <w:r>
        <w:separator/>
      </w:r>
    </w:p>
  </w:footnote>
  <w:footnote w:type="continuationSeparator" w:id="0">
    <w:p w:rsidR="00FB461B" w:rsidRDefault="00FB461B" w:rsidP="00FB461B">
      <w:pPr>
        <w:spacing w:after="0" w:line="240" w:lineRule="auto"/>
      </w:pPr>
      <w:r>
        <w:continuationSeparator/>
      </w:r>
    </w:p>
  </w:footnote>
  <w:footnote w:id="1">
    <w:p w:rsidR="00222839" w:rsidRPr="00222839" w:rsidRDefault="00222839" w:rsidP="005B3FE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222839">
        <w:rPr>
          <w:rStyle w:val="Rimandonotaapidipagina"/>
          <w:rFonts w:ascii="Verdana" w:hAnsi="Verdana"/>
          <w:sz w:val="16"/>
          <w:szCs w:val="16"/>
        </w:rPr>
        <w:footnoteRef/>
      </w:r>
      <w:r w:rsidRPr="00222839">
        <w:rPr>
          <w:rFonts w:ascii="Verdana" w:hAnsi="Verdana"/>
          <w:sz w:val="16"/>
          <w:szCs w:val="16"/>
        </w:rPr>
        <w:t xml:space="preserve"> La Legge 27 dicembre 2013, n. 147, </w:t>
      </w:r>
      <w:r w:rsidRPr="00222839">
        <w:rPr>
          <w:rFonts w:ascii="Verdana" w:hAnsi="Verdana"/>
          <w:i/>
          <w:sz w:val="16"/>
          <w:szCs w:val="16"/>
        </w:rPr>
        <w:t>Disposizioni per la formazione del bilancio annuale e pluriennale dello Stato (Legge di stabilità 2014)</w:t>
      </w:r>
      <w:r w:rsidRPr="00222839">
        <w:rPr>
          <w:rFonts w:ascii="Verdana" w:hAnsi="Verdana"/>
          <w:sz w:val="16"/>
          <w:szCs w:val="16"/>
        </w:rPr>
        <w:t>, ha stabilito che “A decorrere dal 2014 le operazioni di votazione in occasione delle consultazioni elettorali o referendarie si svolgono nella sola giornata della domenica, dalle ore 7 alle ore 23.”</w:t>
      </w:r>
    </w:p>
  </w:footnote>
  <w:footnote w:id="2">
    <w:p w:rsidR="001B4126" w:rsidRPr="001B4126" w:rsidRDefault="001B4126" w:rsidP="005B3FE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B4126">
        <w:rPr>
          <w:rStyle w:val="Rimandonotaapidipagina"/>
          <w:rFonts w:ascii="Verdana" w:hAnsi="Verdana"/>
          <w:sz w:val="16"/>
          <w:szCs w:val="16"/>
        </w:rPr>
        <w:footnoteRef/>
      </w:r>
      <w:r w:rsidRPr="001B4126">
        <w:rPr>
          <w:rFonts w:ascii="Verdana" w:hAnsi="Verdana"/>
          <w:sz w:val="16"/>
          <w:szCs w:val="16"/>
        </w:rPr>
        <w:t xml:space="preserve"> Tale sanzione deve intendersi ora tradotta in euro ai sensi e con le modalità dell’art.</w:t>
      </w:r>
      <w:r>
        <w:rPr>
          <w:rFonts w:ascii="Verdana" w:hAnsi="Verdana"/>
          <w:sz w:val="16"/>
          <w:szCs w:val="16"/>
        </w:rPr>
        <w:t xml:space="preserve"> </w:t>
      </w:r>
      <w:r w:rsidRPr="001B4126">
        <w:rPr>
          <w:rFonts w:ascii="Verdana" w:hAnsi="Verdana"/>
          <w:sz w:val="16"/>
          <w:szCs w:val="16"/>
        </w:rPr>
        <w:t>51 del decreto legislativo 24 giugno 1998, n. 213 (</w:t>
      </w:r>
      <w:r w:rsidRPr="001B4126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1, della legge 17 dicembre 1997, n. 433</w:t>
      </w:r>
      <w:r w:rsidRPr="001B4126">
        <w:rPr>
          <w:rFonts w:ascii="Verdana" w:hAnsi="Verdana"/>
          <w:sz w:val="16"/>
          <w:szCs w:val="16"/>
        </w:rPr>
        <w:t>).</w:t>
      </w:r>
    </w:p>
  </w:footnote>
  <w:footnote w:id="3">
    <w:p w:rsidR="00FB461B" w:rsidRPr="00FB461B" w:rsidRDefault="00FB461B" w:rsidP="005B3FE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FB461B">
        <w:rPr>
          <w:rStyle w:val="Rimandonotaapidipagina"/>
          <w:rFonts w:ascii="Verdana" w:hAnsi="Verdana"/>
          <w:sz w:val="16"/>
          <w:szCs w:val="16"/>
        </w:rPr>
        <w:footnoteRef/>
      </w:r>
      <w:r w:rsidRPr="00FB461B">
        <w:rPr>
          <w:rFonts w:ascii="Verdana" w:hAnsi="Verdana"/>
          <w:sz w:val="16"/>
          <w:szCs w:val="16"/>
        </w:rPr>
        <w:t xml:space="preserve"> La Corte Costituzionale, con sentenza 12-25 luglio 2001, n. 287 (in</w:t>
      </w:r>
      <w:r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>G.U. 1a s.s.</w:t>
      </w:r>
      <w:bookmarkStart w:id="0" w:name="_GoBack"/>
      <w:bookmarkEnd w:id="0"/>
      <w:r w:rsidRPr="00FB461B">
        <w:rPr>
          <w:rFonts w:ascii="Verdana" w:hAnsi="Verdana"/>
          <w:sz w:val="16"/>
          <w:szCs w:val="16"/>
        </w:rPr>
        <w:t xml:space="preserve"> 1/8/2001, n. 30)</w:t>
      </w:r>
      <w:r>
        <w:rPr>
          <w:rFonts w:ascii="Verdana" w:hAnsi="Verdana"/>
          <w:sz w:val="16"/>
          <w:szCs w:val="16"/>
        </w:rPr>
        <w:t xml:space="preserve">, ha dichiarato l'illegittimità </w:t>
      </w:r>
      <w:r w:rsidRPr="00FB461B">
        <w:rPr>
          <w:rFonts w:ascii="Verdana" w:hAnsi="Verdana"/>
          <w:sz w:val="16"/>
          <w:szCs w:val="16"/>
        </w:rPr>
        <w:t>costituzionale del comma 5 del presente art. 29 "nella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>punisce il fatto previsto dal comma 3 con la multa da lire un milione</w:t>
      </w:r>
      <w:r w:rsidR="00C2424C"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 xml:space="preserve">a </w:t>
      </w:r>
      <w:r w:rsidR="00C2424C">
        <w:rPr>
          <w:rFonts w:ascii="Verdana" w:hAnsi="Verdana"/>
          <w:sz w:val="16"/>
          <w:szCs w:val="16"/>
        </w:rPr>
        <w:t>lire cinquanta milioni, anziché</w:t>
      </w:r>
      <w:r w:rsidRPr="00FB461B">
        <w:rPr>
          <w:rFonts w:ascii="Verdana" w:hAnsi="Verdana"/>
          <w:sz w:val="16"/>
          <w:szCs w:val="16"/>
        </w:rPr>
        <w:t xml:space="preserve"> con la sanzione amministrativa</w:t>
      </w:r>
      <w:r w:rsidR="00C2424C"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>pecuniaria da lire un milione a lire cinquanta milioni".</w:t>
      </w:r>
    </w:p>
  </w:footnote>
  <w:footnote w:id="4">
    <w:p w:rsidR="00C2424C" w:rsidRPr="00C2424C" w:rsidRDefault="00C2424C" w:rsidP="005B3FE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C2424C">
        <w:rPr>
          <w:rStyle w:val="Rimandonotaapidipagina"/>
          <w:rFonts w:ascii="Verdana" w:hAnsi="Verdana"/>
          <w:sz w:val="16"/>
          <w:szCs w:val="16"/>
        </w:rPr>
        <w:footnoteRef/>
      </w:r>
      <w:r w:rsidRPr="00C2424C">
        <w:rPr>
          <w:rFonts w:ascii="Verdana" w:hAnsi="Verdana"/>
          <w:sz w:val="16"/>
          <w:szCs w:val="16"/>
        </w:rPr>
        <w:t xml:space="preserve"> La L. 15 ottobre 1993, n. 415 ha disposto (con l'art. 8, comma 1)</w:t>
      </w:r>
      <w:r>
        <w:rPr>
          <w:rFonts w:ascii="Verdana" w:hAnsi="Verdana"/>
          <w:sz w:val="16"/>
          <w:szCs w:val="16"/>
        </w:rPr>
        <w:t xml:space="preserve"> </w:t>
      </w:r>
      <w:r w:rsidRPr="00C2424C">
        <w:rPr>
          <w:rFonts w:ascii="Verdana" w:hAnsi="Verdana"/>
          <w:sz w:val="16"/>
          <w:szCs w:val="16"/>
        </w:rPr>
        <w:t>che "Il termine di sei mesi previsto dall'articolo 34, comma 5, della</w:t>
      </w:r>
      <w:r>
        <w:rPr>
          <w:rFonts w:ascii="Verdana" w:hAnsi="Verdana"/>
          <w:sz w:val="16"/>
          <w:szCs w:val="16"/>
        </w:rPr>
        <w:t xml:space="preserve"> </w:t>
      </w:r>
      <w:r w:rsidRPr="00C2424C">
        <w:rPr>
          <w:rFonts w:ascii="Verdana" w:hAnsi="Verdana"/>
          <w:sz w:val="16"/>
          <w:szCs w:val="16"/>
        </w:rPr>
        <w:t>legge 25 marzo 1993, n. 81, decorre dalla data di entrata in vigore</w:t>
      </w:r>
      <w:r>
        <w:rPr>
          <w:rFonts w:ascii="Verdana" w:hAnsi="Verdana"/>
          <w:sz w:val="16"/>
          <w:szCs w:val="16"/>
        </w:rPr>
        <w:t xml:space="preserve"> </w:t>
      </w:r>
      <w:r w:rsidRPr="00C2424C">
        <w:rPr>
          <w:rFonts w:ascii="Verdana" w:hAnsi="Verdana"/>
          <w:sz w:val="16"/>
          <w:szCs w:val="16"/>
        </w:rPr>
        <w:t>della presente legge".</w:t>
      </w:r>
    </w:p>
  </w:footnote>
  <w:footnote w:id="5">
    <w:p w:rsidR="001B4126" w:rsidRPr="001B4126" w:rsidRDefault="001B4126" w:rsidP="005B3FE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B4126">
        <w:rPr>
          <w:rStyle w:val="Rimandonotaapidipagina"/>
          <w:rFonts w:ascii="Verdana" w:hAnsi="Verdana"/>
          <w:sz w:val="16"/>
          <w:szCs w:val="16"/>
        </w:rPr>
        <w:footnoteRef/>
      </w:r>
      <w:r w:rsidRPr="001B4126">
        <w:rPr>
          <w:rFonts w:ascii="Verdana" w:hAnsi="Verdana"/>
          <w:sz w:val="16"/>
          <w:szCs w:val="16"/>
        </w:rPr>
        <w:t xml:space="preserve"> Con decreto del Presidente della Repubblica 28 aprile 1993, n. 132, è stato approvato</w:t>
      </w:r>
      <w:r>
        <w:rPr>
          <w:rFonts w:ascii="Verdana" w:hAnsi="Verdana"/>
          <w:sz w:val="16"/>
          <w:szCs w:val="16"/>
        </w:rPr>
        <w:t xml:space="preserve"> </w:t>
      </w:r>
      <w:r w:rsidRPr="001B4126">
        <w:rPr>
          <w:rFonts w:ascii="Verdana" w:hAnsi="Verdana"/>
          <w:sz w:val="16"/>
          <w:szCs w:val="16"/>
        </w:rPr>
        <w:t>il regolamento di attuazione della presente legge.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B3FEE" w:rsidTr="00D26EAA">
      <w:tc>
        <w:tcPr>
          <w:tcW w:w="3505" w:type="dxa"/>
          <w:shd w:val="clear" w:color="auto" w:fill="auto"/>
          <w:vAlign w:val="center"/>
        </w:tcPr>
        <w:p w:rsidR="005B3FEE" w:rsidRPr="00A47199" w:rsidRDefault="005B3FEE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5B3FEE" w:rsidRPr="00A47199" w:rsidRDefault="005B3FEE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FEE" w:rsidRDefault="005B3F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B"/>
    <w:rsid w:val="001B4126"/>
    <w:rsid w:val="001C4E3B"/>
    <w:rsid w:val="00222839"/>
    <w:rsid w:val="002D79B3"/>
    <w:rsid w:val="00517694"/>
    <w:rsid w:val="005B3FEE"/>
    <w:rsid w:val="00641FFE"/>
    <w:rsid w:val="00965F5A"/>
    <w:rsid w:val="009A3353"/>
    <w:rsid w:val="00C2424C"/>
    <w:rsid w:val="00D85C1C"/>
    <w:rsid w:val="00E72BD9"/>
    <w:rsid w:val="00E84F39"/>
    <w:rsid w:val="00F05E53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6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6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46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4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6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6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46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4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2D11-9C93-408B-BBBD-E3A6300D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2018-01-09T16:47:00Z</dcterms:created>
  <dcterms:modified xsi:type="dcterms:W3CDTF">2018-01-09T22:14:00Z</dcterms:modified>
</cp:coreProperties>
</file>