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71" w:rsidRPr="00484B71" w:rsidRDefault="00484B71" w:rsidP="00484B71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484B71">
        <w:rPr>
          <w:rFonts w:ascii="Verdana" w:hAnsi="Verdana" w:cs="Arial"/>
          <w:b/>
          <w:color w:val="4E3F85"/>
          <w:sz w:val="20"/>
          <w:szCs w:val="20"/>
        </w:rPr>
        <w:t>LEGGE 2 luglio 2004, n. 165</w:t>
      </w:r>
    </w:p>
    <w:p w:rsidR="00484B71" w:rsidRPr="00484B71" w:rsidRDefault="00484B71" w:rsidP="00484B71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4B71">
        <w:rPr>
          <w:rFonts w:ascii="Verdana" w:hAnsi="Verdana"/>
          <w:sz w:val="20"/>
          <w:szCs w:val="20"/>
        </w:rPr>
        <w:t>Disposizioni di attuazione dell'articolo 122, primo comma, della Costituzione.</w:t>
      </w:r>
    </w:p>
    <w:p w:rsidR="00484B71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84B71" w:rsidRPr="00484B71" w:rsidRDefault="00484B71" w:rsidP="00484B71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approvato;</w:t>
      </w:r>
    </w:p>
    <w:p w:rsidR="00484B71" w:rsidRPr="00484B71" w:rsidRDefault="00484B71" w:rsidP="00484B71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sz w:val="18"/>
          <w:szCs w:val="18"/>
        </w:rPr>
        <w:t>IL PRESIDENTE DELLA REPUBBLICA</w:t>
      </w:r>
    </w:p>
    <w:p w:rsidR="00484B71" w:rsidRPr="00484B71" w:rsidRDefault="00484B71" w:rsidP="00484B71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sz w:val="18"/>
          <w:szCs w:val="18"/>
        </w:rPr>
        <w:t>PROMULGA</w:t>
      </w:r>
    </w:p>
    <w:p w:rsidR="00484B71" w:rsidRPr="00484B71" w:rsidRDefault="00484B71" w:rsidP="00484B71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sz w:val="18"/>
          <w:szCs w:val="18"/>
        </w:rPr>
        <w:t>la seguente legge:</w:t>
      </w:r>
    </w:p>
    <w:p w:rsidR="00484B71" w:rsidRPr="00484B71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84B71" w:rsidRPr="00484B71" w:rsidRDefault="00484B71" w:rsidP="00484B7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CAPO I</w:t>
      </w:r>
    </w:p>
    <w:p w:rsidR="00484B71" w:rsidRPr="00484B71" w:rsidRDefault="00484B71" w:rsidP="00484B7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84B71">
        <w:rPr>
          <w:rFonts w:ascii="Verdana" w:hAnsi="Verdana" w:cs="Arial"/>
          <w:b/>
          <w:color w:val="1F497D" w:themeColor="text2"/>
          <w:sz w:val="18"/>
          <w:szCs w:val="18"/>
        </w:rPr>
        <w:t>Art. 1. - Disposizioni generali</w:t>
      </w:r>
    </w:p>
    <w:p w:rsidR="00484B71" w:rsidRPr="00484B71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84B7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stabilisce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esclusiva,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122,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Costituzione,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fondamentali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concernenti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sistema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 </w:t>
      </w:r>
      <w:r w:rsidRPr="00484B7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incompatibilità</w:t>
      </w:r>
      <w:r w:rsidRPr="00484B71">
        <w:rPr>
          <w:rFonts w:ascii="Verdana" w:hAnsi="Verdana"/>
          <w:sz w:val="18"/>
          <w:szCs w:val="18"/>
        </w:rPr>
        <w:t xml:space="preserve"> del Presidente e degli altri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della Giunta regionale, nonché</w:t>
      </w:r>
      <w:r w:rsidRPr="00484B71">
        <w:rPr>
          <w:rFonts w:ascii="Verdana" w:hAnsi="Verdana"/>
          <w:sz w:val="18"/>
          <w:szCs w:val="18"/>
        </w:rPr>
        <w:t xml:space="preserve"> dei consiglieri regionali.</w:t>
      </w:r>
    </w:p>
    <w:p w:rsidR="00484B71" w:rsidRPr="00484B71" w:rsidRDefault="00484B71" w:rsidP="00484B71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484B71" w:rsidRPr="00484B71" w:rsidRDefault="00484B71" w:rsidP="00484B7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84B71">
        <w:rPr>
          <w:rFonts w:ascii="Verdana" w:hAnsi="Verdana" w:cs="Arial"/>
          <w:b/>
          <w:color w:val="1F497D" w:themeColor="text2"/>
          <w:sz w:val="18"/>
          <w:szCs w:val="18"/>
        </w:rPr>
        <w:t>Art. 2. - Disposizioni di principio, in attuazione dell'articolo 122, primo comma, della Costituzione, in materia di ineleggibilità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84B71">
        <w:rPr>
          <w:rFonts w:ascii="Verdana" w:hAnsi="Verdana"/>
          <w:sz w:val="18"/>
          <w:szCs w:val="18"/>
        </w:rPr>
        <w:t>Fatte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salve le disposizioni legislative statali in materia di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incandidabilità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per coloro che hanno riportato sentenze di condanna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confronti sono state applicate misure di prevenzione, 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disciplinano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</w:t>
      </w:r>
      <w:r w:rsidRPr="00484B7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specificamente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individuati,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all'articolo 122, primo comma,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della Costituzione, nei limiti dei seguenti principi fondamentali: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a)</w:t>
      </w:r>
      <w:r w:rsidRPr="00484B71">
        <w:rPr>
          <w:rFonts w:ascii="Verdana" w:hAnsi="Verdana"/>
          <w:sz w:val="18"/>
          <w:szCs w:val="18"/>
        </w:rPr>
        <w:t xml:space="preserve"> sussistenz</w:t>
      </w:r>
      <w:r>
        <w:rPr>
          <w:rFonts w:ascii="Verdana" w:hAnsi="Verdana"/>
          <w:sz w:val="18"/>
          <w:szCs w:val="18"/>
        </w:rPr>
        <w:t xml:space="preserve">a delle cause di ineleggibilità qualora le attività </w:t>
      </w:r>
      <w:r w:rsidRPr="00484B7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svolte dal candidato, anche in relazione a peculiari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regioni,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possano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turbare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o condizionare in modo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diretto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libera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decisione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 voto degli elettori ovvero possano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violare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parità </w:t>
      </w:r>
      <w:r w:rsidRPr="00484B7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accesso alle cariche elettive rispetto agli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altri candidati;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inefficacia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 </w:t>
      </w:r>
      <w:r w:rsidRPr="00484B71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cessino dalle attività</w:t>
      </w:r>
      <w:r w:rsidRPr="00484B71">
        <w:rPr>
          <w:rFonts w:ascii="Verdana" w:hAnsi="Verdana"/>
          <w:sz w:val="18"/>
          <w:szCs w:val="18"/>
        </w:rPr>
        <w:t xml:space="preserve"> o dalle funzioni che determinano</w:t>
      </w:r>
      <w:r>
        <w:rPr>
          <w:rFonts w:ascii="Verdana" w:hAnsi="Verdana"/>
          <w:sz w:val="18"/>
          <w:szCs w:val="18"/>
        </w:rPr>
        <w:t xml:space="preserve"> l'ineleggibilità</w:t>
      </w:r>
      <w:r w:rsidRPr="00484B7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oltre il giorno fissato per la presentazione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termine anteriore altrimenti stabilito,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ferma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tutela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 diritto al mantenimento del posto di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lavoro, pubblico o privato, del candidato;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c)</w:t>
      </w:r>
      <w:r w:rsidRPr="00484B71">
        <w:rPr>
          <w:rFonts w:ascii="Verdana" w:hAnsi="Verdana"/>
          <w:sz w:val="18"/>
          <w:szCs w:val="18"/>
        </w:rPr>
        <w:t xml:space="preserve"> applicazione della d</w:t>
      </w:r>
      <w:r>
        <w:rPr>
          <w:rFonts w:ascii="Verdana" w:hAnsi="Verdana"/>
          <w:sz w:val="18"/>
          <w:szCs w:val="18"/>
        </w:rPr>
        <w:t>isciplina delle incompatibilità</w:t>
      </w:r>
      <w:r w:rsidRPr="00484B71">
        <w:rPr>
          <w:rFonts w:ascii="Verdana" w:hAnsi="Verdana"/>
          <w:sz w:val="18"/>
          <w:szCs w:val="18"/>
        </w:rPr>
        <w:t xml:space="preserve"> alle cause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 </w:t>
      </w:r>
      <w:r w:rsidRPr="00484B71">
        <w:rPr>
          <w:rFonts w:ascii="Verdana" w:hAnsi="Verdana"/>
          <w:sz w:val="18"/>
          <w:szCs w:val="18"/>
        </w:rPr>
        <w:t>sopravvenute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alle elezioni qualora ricorrano 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 xml:space="preserve">condizioni previste dall'articolo 3, comma 1, lettere </w:t>
      </w:r>
      <w:r w:rsidRPr="00484B71">
        <w:rPr>
          <w:rFonts w:ascii="Verdana" w:hAnsi="Verdana"/>
          <w:i/>
          <w:sz w:val="18"/>
          <w:szCs w:val="18"/>
        </w:rPr>
        <w:t>a)</w:t>
      </w:r>
      <w:r w:rsidRPr="00484B71">
        <w:rPr>
          <w:rFonts w:ascii="Verdana" w:hAnsi="Verdana"/>
          <w:sz w:val="18"/>
          <w:szCs w:val="18"/>
        </w:rPr>
        <w:t xml:space="preserve"> e </w:t>
      </w:r>
      <w:r w:rsidRPr="00484B71">
        <w:rPr>
          <w:rFonts w:ascii="Verdana" w:hAnsi="Verdana"/>
          <w:i/>
          <w:sz w:val="18"/>
          <w:szCs w:val="18"/>
        </w:rPr>
        <w:t>b)</w:t>
      </w:r>
      <w:r w:rsidRPr="00484B71">
        <w:rPr>
          <w:rFonts w:ascii="Verdana" w:hAnsi="Verdana"/>
          <w:sz w:val="18"/>
          <w:szCs w:val="18"/>
        </w:rPr>
        <w:t>;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attribuzione ai Consigli regionali della competenza a decidere</w:t>
      </w:r>
      <w:r>
        <w:rPr>
          <w:rFonts w:ascii="Verdana" w:hAnsi="Verdana"/>
          <w:sz w:val="18"/>
          <w:szCs w:val="18"/>
        </w:rPr>
        <w:t xml:space="preserve"> sulle cause di ineleggibilità</w:t>
      </w:r>
      <w:r w:rsidRPr="00484B71">
        <w:rPr>
          <w:rFonts w:ascii="Verdana" w:hAnsi="Verdana"/>
          <w:sz w:val="18"/>
          <w:szCs w:val="18"/>
        </w:rPr>
        <w:t xml:space="preserve"> dei propri componenti e del Presidente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Giunta eletto a suffragio universale e diretto, fatta salva 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l'autorità </w:t>
      </w:r>
      <w:r w:rsidRPr="00484B71">
        <w:rPr>
          <w:rFonts w:ascii="Verdana" w:hAnsi="Verdana"/>
          <w:sz w:val="18"/>
          <w:szCs w:val="18"/>
        </w:rPr>
        <w:t>giudiziaria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decidere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sui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ricorsi.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 xml:space="preserve">L'esercizio delle rispettive funzioni </w:t>
      </w:r>
      <w:r>
        <w:rPr>
          <w:rFonts w:ascii="Verdana" w:hAnsi="Verdana"/>
          <w:sz w:val="18"/>
          <w:szCs w:val="18"/>
        </w:rPr>
        <w:t>è</w:t>
      </w:r>
      <w:r w:rsidRPr="00484B71">
        <w:rPr>
          <w:rFonts w:ascii="Verdana" w:hAnsi="Verdana"/>
          <w:sz w:val="18"/>
          <w:szCs w:val="18"/>
        </w:rPr>
        <w:t xml:space="preserve"> comunque garantito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fino alla pronuncia definitiva sugli stessi ricorsi;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eventuale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differenziazione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dell'ineleggib</w:t>
      </w:r>
      <w:r>
        <w:rPr>
          <w:rFonts w:ascii="Verdana" w:hAnsi="Verdana"/>
          <w:sz w:val="18"/>
          <w:szCs w:val="18"/>
        </w:rPr>
        <w:t>ilità</w:t>
      </w:r>
      <w:r w:rsidRPr="00484B71">
        <w:rPr>
          <w:rFonts w:ascii="Verdana" w:hAnsi="Verdana"/>
          <w:sz w:val="18"/>
          <w:szCs w:val="18"/>
        </w:rPr>
        <w:t xml:space="preserve"> nei confronti del Presidente della Giunta regionale 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dei consiglieri regionali;</w:t>
      </w:r>
    </w:p>
    <w:p w:rsidR="00484B71" w:rsidRPr="00484B71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f)</w:t>
      </w:r>
      <w:r w:rsidRPr="00484B71">
        <w:rPr>
          <w:rFonts w:ascii="Verdana" w:hAnsi="Verdana"/>
          <w:sz w:val="18"/>
          <w:szCs w:val="18"/>
        </w:rPr>
        <w:t xml:space="preserve"> previsione del</w:t>
      </w:r>
      <w:r>
        <w:rPr>
          <w:rFonts w:ascii="Verdana" w:hAnsi="Verdana"/>
          <w:sz w:val="18"/>
          <w:szCs w:val="18"/>
        </w:rPr>
        <w:t>la non immediata rieleggibilità</w:t>
      </w:r>
      <w:r w:rsidRPr="00484B71">
        <w:rPr>
          <w:rFonts w:ascii="Verdana" w:hAnsi="Verdana"/>
          <w:sz w:val="18"/>
          <w:szCs w:val="18"/>
        </w:rPr>
        <w:t xml:space="preserve"> allo scadere del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consecutivo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Presidente della Giunta regionale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suffragio universale e diretto, sulla base della normativa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regionale adottata in materia.</w:t>
      </w:r>
    </w:p>
    <w:p w:rsidR="00484B71" w:rsidRPr="00484B71" w:rsidRDefault="00484B71" w:rsidP="00484B71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484B71" w:rsidRDefault="00484B71">
      <w:pPr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br w:type="page"/>
      </w:r>
    </w:p>
    <w:p w:rsidR="00484B71" w:rsidRPr="00484B71" w:rsidRDefault="00484B71" w:rsidP="00484B7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84B71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3. - Disposizioni di principio, in attuazione dell'articolo 122, primo comma, della Costituzione, in materia di incompatibilità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84B7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 xml:space="preserve">regioni disciplinano con </w:t>
      </w:r>
      <w:r>
        <w:rPr>
          <w:rFonts w:ascii="Verdana" w:hAnsi="Verdana"/>
          <w:sz w:val="18"/>
          <w:szCs w:val="18"/>
        </w:rPr>
        <w:t>legge i casi di incompatibilità</w:t>
      </w:r>
      <w:r w:rsidRPr="00484B7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specificatamente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individuati,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 cui all'articolo 122, primo comma,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della Costituzione, nei limiti dei seguenti principi fondamentali: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sussistenza di cause d</w:t>
      </w:r>
      <w:r>
        <w:rPr>
          <w:rFonts w:ascii="Verdana" w:hAnsi="Verdana"/>
          <w:sz w:val="18"/>
          <w:szCs w:val="18"/>
        </w:rPr>
        <w:t>i incompatibilità</w:t>
      </w:r>
      <w:r w:rsidRPr="00484B71">
        <w:rPr>
          <w:rFonts w:ascii="Verdana" w:hAnsi="Verdana"/>
          <w:sz w:val="18"/>
          <w:szCs w:val="18"/>
        </w:rPr>
        <w:t>, in caso di conflitto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le funzioni svolte dal Presidente o dagli altri componenti della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consiglieri regionali e altre situazioni 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cariche, comprese quelle elettive, suscettibile, anche in relazione 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peculiari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regioni,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compromettere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buon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andamento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l'imparzialità </w:t>
      </w:r>
      <w:r w:rsidRPr="00484B71">
        <w:rPr>
          <w:rFonts w:ascii="Verdana" w:hAnsi="Verdana"/>
          <w:sz w:val="18"/>
          <w:szCs w:val="18"/>
        </w:rPr>
        <w:t>dell'amministrazione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ovvero il libero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espletamento della carica elettiva;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sussiste</w:t>
      </w:r>
      <w:r>
        <w:rPr>
          <w:rFonts w:ascii="Verdana" w:hAnsi="Verdana"/>
          <w:sz w:val="18"/>
          <w:szCs w:val="18"/>
        </w:rPr>
        <w:t>nza di cause di incompatibilità</w:t>
      </w:r>
      <w:r w:rsidRPr="00484B71">
        <w:rPr>
          <w:rFonts w:ascii="Verdana" w:hAnsi="Verdana"/>
          <w:sz w:val="18"/>
          <w:szCs w:val="18"/>
        </w:rPr>
        <w:t>, in caso di conflitto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le funzioni svolte dal Presidente o dagli altri componenti della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Giunta regionale o dai consiglieri regionali e le funzioni svolte dai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medesimi presso organismi internazionali o sopranazionali;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eventuale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 xml:space="preserve">sussistenza </w:t>
      </w:r>
      <w:r>
        <w:rPr>
          <w:rFonts w:ascii="Verdana" w:hAnsi="Verdana"/>
          <w:sz w:val="18"/>
          <w:szCs w:val="18"/>
        </w:rPr>
        <w:t>di una causa di incompatibilità</w:t>
      </w:r>
      <w:r w:rsidRPr="00484B71">
        <w:rPr>
          <w:rFonts w:ascii="Verdana" w:hAnsi="Verdana"/>
          <w:sz w:val="18"/>
          <w:szCs w:val="18"/>
        </w:rPr>
        <w:t xml:space="preserve"> tra 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carica di assessore regionale e quella di consigliere regionale;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in caso di previsione</w:t>
      </w:r>
      <w:r>
        <w:rPr>
          <w:rFonts w:ascii="Verdana" w:hAnsi="Verdana"/>
          <w:sz w:val="18"/>
          <w:szCs w:val="18"/>
        </w:rPr>
        <w:t xml:space="preserve"> della causa di incompatibilità</w:t>
      </w:r>
      <w:r w:rsidRPr="00484B71">
        <w:rPr>
          <w:rFonts w:ascii="Verdana" w:hAnsi="Verdana"/>
          <w:sz w:val="18"/>
          <w:szCs w:val="18"/>
        </w:rPr>
        <w:t xml:space="preserve"> per lite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pendente con la regione, osservanza dei seguenti criteri: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della incompatibilità</w:t>
      </w:r>
      <w:r w:rsidRPr="00484B71">
        <w:rPr>
          <w:rFonts w:ascii="Verdana" w:hAnsi="Verdana"/>
          <w:sz w:val="18"/>
          <w:szCs w:val="18"/>
        </w:rPr>
        <w:t xml:space="preserve"> nel caso in cui il soggetto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sia parte attiva della lite;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2)</w:t>
      </w:r>
      <w:r w:rsidRPr="00484B71">
        <w:rPr>
          <w:rFonts w:ascii="Verdana" w:hAnsi="Verdana"/>
          <w:sz w:val="18"/>
          <w:szCs w:val="18"/>
        </w:rPr>
        <w:t xml:space="preserve"> qualora il soggetto non sia parte attiva della lite, previsione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incompatibilità </w:t>
      </w:r>
      <w:r w:rsidRPr="00484B71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lite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conseguente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promossa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seguito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 giudizio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definito con sentenza passata in giudicato;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attribuzione ai Consigli regionali della competenza a decidere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sulle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incompatibilità </w:t>
      </w:r>
      <w:r w:rsidRPr="00484B71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suffragio universale e diretto,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fatta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la competenza dell'autorità</w:t>
      </w:r>
      <w:r w:rsidRPr="00484B71">
        <w:rPr>
          <w:rFonts w:ascii="Verdana" w:hAnsi="Verdana"/>
          <w:sz w:val="18"/>
          <w:szCs w:val="18"/>
        </w:rPr>
        <w:t xml:space="preserve"> giudiziaria a decidere sui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ricorsi.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 xml:space="preserve">L'esercizio delle rispettive funzioni </w:t>
      </w:r>
      <w:r>
        <w:rPr>
          <w:rFonts w:ascii="Verdana" w:hAnsi="Verdana"/>
          <w:sz w:val="18"/>
          <w:szCs w:val="18"/>
        </w:rPr>
        <w:t>è</w:t>
      </w:r>
      <w:r w:rsidRPr="00484B71">
        <w:rPr>
          <w:rFonts w:ascii="Verdana" w:hAnsi="Verdana"/>
          <w:sz w:val="18"/>
          <w:szCs w:val="18"/>
        </w:rPr>
        <w:t xml:space="preserve"> comunque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garantito fino alla pronuncia definitiva sugli stessi ricorsi;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eventuale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differenziazione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dell'incompatibilità </w:t>
      </w:r>
      <w:r w:rsidRPr="00484B71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consiglieri regionali;</w:t>
      </w:r>
    </w:p>
    <w:p w:rsidR="00484B71" w:rsidRPr="00484B71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g)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fissazione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dall'accertamento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della causa di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incompat</w:t>
      </w:r>
      <w:r>
        <w:rPr>
          <w:rFonts w:ascii="Verdana" w:hAnsi="Verdana"/>
          <w:sz w:val="18"/>
          <w:szCs w:val="18"/>
        </w:rPr>
        <w:t>ibilità</w:t>
      </w:r>
      <w:r w:rsidRPr="00484B7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 trenta giorni, entro il quale, 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dalla carica, deve essere esercitata l'opzione 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cessare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causa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l'incompatibilità</w:t>
      </w:r>
      <w:r w:rsidRPr="00484B7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ferma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la tutela del diritto dell'eletto al mantenimento del posto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 lavoro, pubblico o privato.</w:t>
      </w:r>
    </w:p>
    <w:p w:rsidR="00484B71" w:rsidRPr="00484B71" w:rsidRDefault="00484B71" w:rsidP="00484B71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484B71" w:rsidRPr="00484B71" w:rsidRDefault="00484B71" w:rsidP="00484B7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84B71">
        <w:rPr>
          <w:rFonts w:ascii="Verdana" w:hAnsi="Verdana" w:cs="Arial"/>
          <w:b/>
          <w:color w:val="1F497D" w:themeColor="text2"/>
          <w:sz w:val="18"/>
          <w:szCs w:val="18"/>
        </w:rPr>
        <w:t>Art. 4. - Disposizioni di principio, in attuazione dell'articolo 122, primo comma, della Costituzione, in materia di sistema di elezione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84B71">
        <w:rPr>
          <w:rFonts w:ascii="Verdana" w:hAnsi="Verdana"/>
          <w:sz w:val="18"/>
          <w:szCs w:val="18"/>
        </w:rPr>
        <w:t>Le regioni disciplinano con legge il sistema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Presidente della Giunta regionale 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 xml:space="preserve">limiti dei seguenti principi fondamentali: 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individuazione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sistema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agevoli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formazione di stabili maggioranze nel Consiglio regionale 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assicuri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 xml:space="preserve">la rappresentanza delle minoranze; 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contestualità </w:t>
      </w:r>
      <w:r w:rsidRPr="00484B71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regionale e del Consiglio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regionale, se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è </w:t>
      </w:r>
      <w:r w:rsidRPr="00484B71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suffragio universale 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diretto.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Previsione,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regione adotti l'ipotesi di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modalità </w:t>
      </w:r>
      <w:r w:rsidRPr="00484B71">
        <w:rPr>
          <w:rFonts w:ascii="Verdana" w:hAnsi="Verdana"/>
          <w:sz w:val="18"/>
          <w:szCs w:val="18"/>
        </w:rPr>
        <w:t>diverse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suffragio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universale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diretto, di termini temporali tassativi,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superiori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novanta giorni, per l'elezione del Presidente e per l'elezione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 xml:space="preserve">nomina degli altri componenti della Giunta; </w:t>
      </w:r>
    </w:p>
    <w:p w:rsidR="00484B71" w:rsidRPr="00484B71" w:rsidRDefault="00484B71" w:rsidP="00484B71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c)</w:t>
      </w:r>
      <w:r w:rsidRPr="00484B71">
        <w:rPr>
          <w:rFonts w:ascii="Verdana" w:hAnsi="Verdana"/>
          <w:sz w:val="18"/>
          <w:szCs w:val="18"/>
        </w:rPr>
        <w:t xml:space="preserve"> divieto di mandato imperativo. </w:t>
      </w:r>
    </w:p>
    <w:p w:rsidR="00F8553E" w:rsidRPr="00F8553E" w:rsidRDefault="00484B71" w:rsidP="00F8553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c-bis)</w:t>
      </w:r>
      <w:r>
        <w:rPr>
          <w:rFonts w:ascii="Verdana" w:hAnsi="Verdana"/>
          <w:sz w:val="18"/>
          <w:szCs w:val="18"/>
        </w:rPr>
        <w:t xml:space="preserve"> </w:t>
      </w:r>
      <w:r w:rsidR="00F8553E" w:rsidRPr="00F8553E">
        <w:rPr>
          <w:rFonts w:ascii="Verdana" w:hAnsi="Verdana"/>
          <w:sz w:val="18"/>
          <w:szCs w:val="18"/>
        </w:rPr>
        <w:t>promozione delle pari opportunit</w:t>
      </w:r>
      <w:r w:rsidR="00F8553E">
        <w:rPr>
          <w:rFonts w:ascii="Verdana" w:hAnsi="Verdana"/>
          <w:sz w:val="18"/>
          <w:szCs w:val="18"/>
        </w:rPr>
        <w:t>à</w:t>
      </w:r>
      <w:r w:rsidR="00F8553E" w:rsidRPr="00F8553E">
        <w:rPr>
          <w:rFonts w:ascii="Verdana" w:hAnsi="Verdana"/>
          <w:sz w:val="18"/>
          <w:szCs w:val="18"/>
        </w:rPr>
        <w:t xml:space="preserve"> tra</w:t>
      </w:r>
      <w:r w:rsidR="00F8553E">
        <w:rPr>
          <w:rFonts w:ascii="Verdana" w:hAnsi="Verdana"/>
          <w:sz w:val="18"/>
          <w:szCs w:val="18"/>
        </w:rPr>
        <w:t xml:space="preserve"> </w:t>
      </w:r>
      <w:r w:rsidR="00F8553E" w:rsidRPr="00F8553E">
        <w:rPr>
          <w:rFonts w:ascii="Verdana" w:hAnsi="Verdana"/>
          <w:sz w:val="18"/>
          <w:szCs w:val="18"/>
        </w:rPr>
        <w:t>donne</w:t>
      </w:r>
      <w:r w:rsidR="00F8553E">
        <w:rPr>
          <w:rFonts w:ascii="Verdana" w:hAnsi="Verdana"/>
          <w:sz w:val="18"/>
          <w:szCs w:val="18"/>
        </w:rPr>
        <w:t xml:space="preserve"> </w:t>
      </w:r>
      <w:r w:rsidR="00F8553E" w:rsidRPr="00F8553E">
        <w:rPr>
          <w:rFonts w:ascii="Verdana" w:hAnsi="Verdana"/>
          <w:sz w:val="18"/>
          <w:szCs w:val="18"/>
        </w:rPr>
        <w:t>e</w:t>
      </w:r>
      <w:r w:rsidR="00F8553E">
        <w:rPr>
          <w:rFonts w:ascii="Verdana" w:hAnsi="Verdana"/>
          <w:sz w:val="18"/>
          <w:szCs w:val="18"/>
        </w:rPr>
        <w:t xml:space="preserve"> </w:t>
      </w:r>
      <w:r w:rsidR="00F8553E" w:rsidRPr="00F8553E">
        <w:rPr>
          <w:rFonts w:ascii="Verdana" w:hAnsi="Verdana"/>
          <w:sz w:val="18"/>
          <w:szCs w:val="18"/>
        </w:rPr>
        <w:t>uomini</w:t>
      </w:r>
      <w:r w:rsidR="00F8553E">
        <w:rPr>
          <w:rFonts w:ascii="Verdana" w:hAnsi="Verdana"/>
          <w:sz w:val="18"/>
          <w:szCs w:val="18"/>
        </w:rPr>
        <w:t xml:space="preserve"> </w:t>
      </w:r>
      <w:r w:rsidR="00F8553E" w:rsidRPr="00F8553E">
        <w:rPr>
          <w:rFonts w:ascii="Verdana" w:hAnsi="Verdana"/>
          <w:sz w:val="18"/>
          <w:szCs w:val="18"/>
        </w:rPr>
        <w:t xml:space="preserve">nell'accesso alle cariche elettive, disponendo che: </w:t>
      </w:r>
    </w:p>
    <w:p w:rsidR="00F8553E" w:rsidRPr="00F8553E" w:rsidRDefault="00F8553E" w:rsidP="00F8553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F8553E">
        <w:rPr>
          <w:rFonts w:ascii="Verdana" w:hAnsi="Verdana"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preveda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l'espressione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preferenze, in ciascuna lista i candidati siano presenti in modo tale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che quelli dello stesso sesso non eccedano il 60 per cento del totale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e sia consentita l'espressione di almeno due preferenze, di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riservata a un candidato di sesso diverso, pena l'annullamento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 xml:space="preserve">preferenze successive alla prima; </w:t>
      </w:r>
    </w:p>
    <w:p w:rsidR="00F8553E" w:rsidRPr="00F8553E" w:rsidRDefault="00F8553E" w:rsidP="00F8553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</w:r>
      <w:r w:rsidRPr="00F8553E"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preferenze, la legge elettorale disponga l'alternanza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di sesso diverso, in modo tale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sesso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 xml:space="preserve">eccedano il 60 per cento del totale; </w:t>
      </w:r>
    </w:p>
    <w:p w:rsidR="00484B71" w:rsidRPr="00484B71" w:rsidRDefault="00F8553E" w:rsidP="00F8553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F8553E">
        <w:rPr>
          <w:rFonts w:ascii="Verdana" w:hAnsi="Verdana"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uninominali,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disponga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l'equilibrio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col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medesimo simbolo in modo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sesso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F8553E">
        <w:rPr>
          <w:rFonts w:ascii="Verdana" w:hAnsi="Verdana"/>
          <w:sz w:val="18"/>
          <w:szCs w:val="18"/>
        </w:rPr>
        <w:t>ecced</w:t>
      </w:r>
      <w:r>
        <w:rPr>
          <w:rFonts w:ascii="Verdana" w:hAnsi="Verdana"/>
          <w:sz w:val="18"/>
          <w:szCs w:val="18"/>
        </w:rPr>
        <w:t>ano il 60 per cento del totale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484B71" w:rsidRPr="00484B71">
        <w:rPr>
          <w:rFonts w:ascii="Verdana" w:hAnsi="Verdana"/>
          <w:sz w:val="18"/>
          <w:szCs w:val="18"/>
        </w:rPr>
        <w:t xml:space="preserve">. </w:t>
      </w:r>
    </w:p>
    <w:p w:rsidR="005A17C3" w:rsidRDefault="005A17C3" w:rsidP="00484B7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</w:p>
    <w:p w:rsidR="00484B71" w:rsidRPr="00484B71" w:rsidRDefault="00484B71" w:rsidP="00484B71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84B71">
        <w:rPr>
          <w:rFonts w:ascii="Verdana" w:hAnsi="Verdana"/>
          <w:i/>
          <w:sz w:val="18"/>
          <w:szCs w:val="18"/>
        </w:rPr>
        <w:t>CAPO II</w:t>
      </w:r>
    </w:p>
    <w:p w:rsidR="00484B71" w:rsidRPr="00484B71" w:rsidRDefault="00484B71" w:rsidP="00484B7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84B71">
        <w:rPr>
          <w:rFonts w:ascii="Verdana" w:hAnsi="Verdana" w:cs="Arial"/>
          <w:b/>
          <w:color w:val="1F497D" w:themeColor="text2"/>
          <w:sz w:val="18"/>
          <w:szCs w:val="18"/>
        </w:rPr>
        <w:t>Art. 5. - Durata degli organi elettivi regionali</w:t>
      </w:r>
    </w:p>
    <w:p w:rsidR="00484B71" w:rsidRPr="00484B71" w:rsidRDefault="00484B71" w:rsidP="005D41E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484B71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organi elettivi delle regioni durano in carica per cinque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anni,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fatta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salva,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previsti,</w:t>
      </w:r>
      <w:r>
        <w:rPr>
          <w:rFonts w:ascii="Verdana" w:hAnsi="Verdana"/>
          <w:sz w:val="18"/>
          <w:szCs w:val="18"/>
        </w:rPr>
        <w:t xml:space="preserve"> l'eventualità </w:t>
      </w:r>
      <w:r w:rsidRPr="00484B71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anticipato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regionale.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quinquennio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decorre per ciascun Consiglio dalla data della elezione</w:t>
      </w:r>
      <w:r w:rsidR="005D41EA">
        <w:rPr>
          <w:rFonts w:ascii="Verdana" w:hAnsi="Verdana"/>
          <w:sz w:val="18"/>
          <w:szCs w:val="18"/>
        </w:rPr>
        <w:t xml:space="preserve"> </w:t>
      </w:r>
      <w:r w:rsidR="005D41EA" w:rsidRPr="005D41EA">
        <w:rPr>
          <w:rFonts w:ascii="Verdana" w:hAnsi="Verdana"/>
          <w:sz w:val="18"/>
          <w:szCs w:val="18"/>
        </w:rPr>
        <w:t>e le elezioni</w:t>
      </w:r>
      <w:r w:rsidR="005D41EA">
        <w:rPr>
          <w:rFonts w:ascii="Verdana" w:hAnsi="Verdana"/>
          <w:sz w:val="18"/>
          <w:szCs w:val="18"/>
        </w:rPr>
        <w:t xml:space="preserve"> </w:t>
      </w:r>
      <w:r w:rsidR="005D41EA" w:rsidRPr="005D41EA">
        <w:rPr>
          <w:rFonts w:ascii="Verdana" w:hAnsi="Verdana"/>
          <w:sz w:val="18"/>
          <w:szCs w:val="18"/>
        </w:rPr>
        <w:t>dei nuovi Consigli hanno luogo non oltre i sessanta giorni successivi</w:t>
      </w:r>
      <w:r w:rsidR="005D41EA">
        <w:rPr>
          <w:rFonts w:ascii="Verdana" w:hAnsi="Verdana"/>
          <w:sz w:val="18"/>
          <w:szCs w:val="18"/>
        </w:rPr>
        <w:t xml:space="preserve"> </w:t>
      </w:r>
      <w:r w:rsidR="005D41EA" w:rsidRPr="005D41EA">
        <w:rPr>
          <w:rFonts w:ascii="Verdana" w:hAnsi="Verdana"/>
          <w:sz w:val="18"/>
          <w:szCs w:val="18"/>
        </w:rPr>
        <w:t>al termine del quinquennio o nella domenica compresa nei sei giorni</w:t>
      </w:r>
      <w:r w:rsidR="005D41EA">
        <w:rPr>
          <w:rFonts w:ascii="Verdana" w:hAnsi="Verdana"/>
          <w:sz w:val="18"/>
          <w:szCs w:val="18"/>
        </w:rPr>
        <w:t xml:space="preserve"> </w:t>
      </w:r>
      <w:r w:rsidR="005D41EA" w:rsidRPr="005D41EA">
        <w:rPr>
          <w:rFonts w:ascii="Verdana" w:hAnsi="Verdana"/>
          <w:sz w:val="18"/>
          <w:szCs w:val="18"/>
        </w:rPr>
        <w:t>ulteriori</w:t>
      </w:r>
      <w:r w:rsidRPr="00484B71">
        <w:rPr>
          <w:rFonts w:ascii="Verdana" w:hAnsi="Verdana"/>
          <w:sz w:val="18"/>
          <w:szCs w:val="18"/>
        </w:rPr>
        <w:t>.</w:t>
      </w:r>
    </w:p>
    <w:p w:rsidR="00484B71" w:rsidRPr="00484B71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sz w:val="18"/>
          <w:szCs w:val="18"/>
        </w:rPr>
        <w:t>La presente legge, munit</w:t>
      </w:r>
      <w:r>
        <w:rPr>
          <w:rFonts w:ascii="Verdana" w:hAnsi="Verdana"/>
          <w:sz w:val="18"/>
          <w:szCs w:val="18"/>
        </w:rPr>
        <w:t>a del sigillo dello Stato, sarà</w:t>
      </w:r>
      <w:r w:rsidRPr="00484B71">
        <w:rPr>
          <w:rFonts w:ascii="Verdana" w:hAnsi="Verdana"/>
          <w:sz w:val="18"/>
          <w:szCs w:val="18"/>
        </w:rPr>
        <w:t xml:space="preserve"> inserita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484B71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osservare come legge dello Stato.</w:t>
      </w:r>
    </w:p>
    <w:p w:rsidR="00484B71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84B71" w:rsidRPr="00484B71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484B71">
        <w:rPr>
          <w:rFonts w:ascii="Verdana" w:hAnsi="Verdana"/>
          <w:sz w:val="18"/>
          <w:szCs w:val="18"/>
        </w:rPr>
        <w:t xml:space="preserve"> 2 luglio 2004</w:t>
      </w:r>
    </w:p>
    <w:p w:rsidR="00484B71" w:rsidRPr="00484B71" w:rsidRDefault="00484B71" w:rsidP="00484B71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sz w:val="18"/>
          <w:szCs w:val="18"/>
        </w:rPr>
        <w:t>CIAMPI</w:t>
      </w:r>
    </w:p>
    <w:p w:rsidR="00484B71" w:rsidRPr="00484B71" w:rsidRDefault="00484B71" w:rsidP="00484B71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sz w:val="18"/>
          <w:szCs w:val="18"/>
        </w:rPr>
        <w:t>Berlusconi,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dei Ministri</w:t>
      </w:r>
    </w:p>
    <w:p w:rsidR="00484B71" w:rsidRPr="00484B71" w:rsidRDefault="00484B71" w:rsidP="00484B71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sz w:val="18"/>
          <w:szCs w:val="18"/>
        </w:rPr>
        <w:t>Bossi,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riforme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istituzionali e la devoluzione</w:t>
      </w:r>
    </w:p>
    <w:p w:rsidR="00484B71" w:rsidRPr="00484B71" w:rsidRDefault="00484B71" w:rsidP="00484B71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Loggia,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484B71">
        <w:rPr>
          <w:rFonts w:ascii="Verdana" w:hAnsi="Verdana"/>
          <w:sz w:val="18"/>
          <w:szCs w:val="18"/>
        </w:rPr>
        <w:t>regionali</w:t>
      </w:r>
    </w:p>
    <w:p w:rsidR="00484B71" w:rsidRPr="00484B71" w:rsidRDefault="00484B71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484B71">
        <w:rPr>
          <w:rFonts w:ascii="Verdana" w:hAnsi="Verdana"/>
          <w:sz w:val="18"/>
          <w:szCs w:val="18"/>
        </w:rPr>
        <w:t>Visto, il Guardasigilli: Castelli</w:t>
      </w:r>
    </w:p>
    <w:p w:rsidR="00473809" w:rsidRPr="00484B71" w:rsidRDefault="00473809" w:rsidP="00484B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sectPr w:rsidR="00473809" w:rsidRPr="00484B71" w:rsidSect="002062EE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19" w:rsidRDefault="002D4C19" w:rsidP="00DC799E">
      <w:pPr>
        <w:spacing w:after="0" w:line="240" w:lineRule="auto"/>
      </w:pPr>
      <w:r>
        <w:separator/>
      </w:r>
    </w:p>
  </w:endnote>
  <w:endnote w:type="continuationSeparator" w:id="0">
    <w:p w:rsidR="002D4C19" w:rsidRDefault="002D4C19" w:rsidP="00DC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19" w:rsidRDefault="002D4C19" w:rsidP="00DC799E">
      <w:pPr>
        <w:spacing w:after="0" w:line="240" w:lineRule="auto"/>
      </w:pPr>
      <w:r>
        <w:separator/>
      </w:r>
    </w:p>
  </w:footnote>
  <w:footnote w:type="continuationSeparator" w:id="0">
    <w:p w:rsidR="002D4C19" w:rsidRDefault="002D4C19" w:rsidP="00DC799E">
      <w:pPr>
        <w:spacing w:after="0" w:line="240" w:lineRule="auto"/>
      </w:pPr>
      <w:r>
        <w:continuationSeparator/>
      </w:r>
    </w:p>
  </w:footnote>
  <w:footnote w:id="1">
    <w:p w:rsidR="00F8553E" w:rsidRPr="00F8553E" w:rsidRDefault="00F8553E" w:rsidP="00F8553E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F8553E">
        <w:rPr>
          <w:rStyle w:val="Rimandonotaapidipagina"/>
          <w:rFonts w:ascii="Verdana" w:hAnsi="Verdana"/>
          <w:sz w:val="16"/>
          <w:szCs w:val="16"/>
        </w:rPr>
        <w:footnoteRef/>
      </w:r>
      <w:r w:rsidRPr="00F8553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Lettera così modificata</w:t>
      </w:r>
      <w:bookmarkStart w:id="0" w:name="_GoBack"/>
      <w:bookmarkEnd w:id="0"/>
      <w:r w:rsidRPr="00F8553E">
        <w:rPr>
          <w:rFonts w:ascii="Verdana" w:hAnsi="Verdana"/>
          <w:sz w:val="16"/>
          <w:szCs w:val="16"/>
        </w:rPr>
        <w:t xml:space="preserve"> dalla Legge 15 febbraio 2016, n.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E"/>
    <w:rsid w:val="00035313"/>
    <w:rsid w:val="0011207D"/>
    <w:rsid w:val="00117D04"/>
    <w:rsid w:val="00175F01"/>
    <w:rsid w:val="002062EE"/>
    <w:rsid w:val="00231349"/>
    <w:rsid w:val="0024384F"/>
    <w:rsid w:val="002550B0"/>
    <w:rsid w:val="002830F8"/>
    <w:rsid w:val="00285B71"/>
    <w:rsid w:val="002B53FF"/>
    <w:rsid w:val="002D4C19"/>
    <w:rsid w:val="003574E9"/>
    <w:rsid w:val="0036203E"/>
    <w:rsid w:val="00373228"/>
    <w:rsid w:val="003D63D8"/>
    <w:rsid w:val="00473809"/>
    <w:rsid w:val="00484B71"/>
    <w:rsid w:val="00497A99"/>
    <w:rsid w:val="004B3B1D"/>
    <w:rsid w:val="005A17C3"/>
    <w:rsid w:val="005D41EA"/>
    <w:rsid w:val="0086231D"/>
    <w:rsid w:val="008D3CD7"/>
    <w:rsid w:val="0092367B"/>
    <w:rsid w:val="00AF5F6E"/>
    <w:rsid w:val="00B43417"/>
    <w:rsid w:val="00C85823"/>
    <w:rsid w:val="00C95244"/>
    <w:rsid w:val="00CD5F26"/>
    <w:rsid w:val="00CD704E"/>
    <w:rsid w:val="00DC799E"/>
    <w:rsid w:val="00E751CF"/>
    <w:rsid w:val="00E93F04"/>
    <w:rsid w:val="00EF1239"/>
    <w:rsid w:val="00F8553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2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9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9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2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9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9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BF0E-01C7-4448-97E3-9D1C21BC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2016-02-29T15:52:00Z</dcterms:created>
  <dcterms:modified xsi:type="dcterms:W3CDTF">2016-02-29T16:00:00Z</dcterms:modified>
</cp:coreProperties>
</file>