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71" w:rsidRPr="00484B71" w:rsidRDefault="00484B71" w:rsidP="00484B71">
      <w:pPr>
        <w:tabs>
          <w:tab w:val="left" w:pos="426"/>
        </w:tabs>
        <w:jc w:val="both"/>
        <w:rPr>
          <w:rFonts w:ascii="Verdana" w:hAnsi="Verdana" w:cs="Arial"/>
          <w:b/>
          <w:color w:val="4E3F85"/>
          <w:sz w:val="20"/>
          <w:szCs w:val="20"/>
        </w:rPr>
      </w:pPr>
      <w:r w:rsidRPr="00484B71">
        <w:rPr>
          <w:rFonts w:ascii="Verdana" w:hAnsi="Verdana" w:cs="Arial"/>
          <w:b/>
          <w:color w:val="4E3F85"/>
          <w:sz w:val="20"/>
          <w:szCs w:val="20"/>
        </w:rPr>
        <w:t>LEGGE 2 luglio 2004, n. 165</w:t>
      </w:r>
    </w:p>
    <w:p w:rsidR="00484B71" w:rsidRPr="00484B71" w:rsidRDefault="00484B71" w:rsidP="00484B71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484B71">
        <w:rPr>
          <w:rFonts w:ascii="Verdana" w:hAnsi="Verdana"/>
          <w:sz w:val="20"/>
          <w:szCs w:val="20"/>
        </w:rPr>
        <w:t>Disposizioni di attuazione dell'articolo 122, primo comma, della Costituzione.</w:t>
      </w:r>
    </w:p>
    <w:p w:rsidR="00484B71" w:rsidRDefault="00484B71" w:rsidP="00484B71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484B71" w:rsidRPr="00A27C6F" w:rsidRDefault="00484B71" w:rsidP="00484B71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A27C6F">
        <w:rPr>
          <w:rFonts w:ascii="Verdana" w:hAnsi="Verdana"/>
          <w:sz w:val="18"/>
          <w:szCs w:val="18"/>
        </w:rPr>
        <w:t>La Camera dei deputati ed il Senato della Repubblica hanno approvato;</w:t>
      </w:r>
    </w:p>
    <w:p w:rsidR="00484B71" w:rsidRPr="00A27C6F" w:rsidRDefault="00484B71" w:rsidP="00484B71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A27C6F">
        <w:rPr>
          <w:rFonts w:ascii="Verdana" w:hAnsi="Verdana"/>
          <w:sz w:val="18"/>
          <w:szCs w:val="18"/>
        </w:rPr>
        <w:t>IL PRESIDENTE DELLA REPUBBLICA</w:t>
      </w:r>
    </w:p>
    <w:p w:rsidR="00484B71" w:rsidRPr="00A27C6F" w:rsidRDefault="00484B71" w:rsidP="00484B71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A27C6F">
        <w:rPr>
          <w:rFonts w:ascii="Verdana" w:hAnsi="Verdana"/>
          <w:sz w:val="18"/>
          <w:szCs w:val="18"/>
        </w:rPr>
        <w:t>PROMULGA</w:t>
      </w:r>
    </w:p>
    <w:p w:rsidR="00484B71" w:rsidRPr="00A27C6F" w:rsidRDefault="00484B71" w:rsidP="00484B71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A27C6F">
        <w:rPr>
          <w:rFonts w:ascii="Verdana" w:hAnsi="Verdana"/>
          <w:sz w:val="18"/>
          <w:szCs w:val="18"/>
        </w:rPr>
        <w:t>la seguente legge:</w:t>
      </w:r>
    </w:p>
    <w:p w:rsidR="00484B71" w:rsidRPr="00A27C6F" w:rsidRDefault="00484B71" w:rsidP="00484B71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484B71" w:rsidRPr="00A27C6F" w:rsidRDefault="00484B71" w:rsidP="00484B71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A27C6F">
        <w:rPr>
          <w:rFonts w:ascii="Verdana" w:hAnsi="Verdana"/>
          <w:i/>
          <w:sz w:val="18"/>
          <w:szCs w:val="18"/>
        </w:rPr>
        <w:t>CAPO I</w:t>
      </w:r>
    </w:p>
    <w:p w:rsidR="00484B71" w:rsidRPr="00A27C6F" w:rsidRDefault="00484B71" w:rsidP="00484B71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A27C6F">
        <w:rPr>
          <w:rFonts w:ascii="Verdana" w:hAnsi="Verdana" w:cs="Arial"/>
          <w:b/>
          <w:color w:val="1F497D" w:themeColor="text2"/>
          <w:sz w:val="18"/>
          <w:szCs w:val="18"/>
        </w:rPr>
        <w:t>Art. 1. - Disposizioni generali</w:t>
      </w:r>
    </w:p>
    <w:p w:rsidR="00A27C6F" w:rsidRDefault="00484B71" w:rsidP="00A27C6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A27C6F">
        <w:rPr>
          <w:rFonts w:ascii="Verdana" w:hAnsi="Verdana"/>
          <w:sz w:val="18"/>
          <w:szCs w:val="18"/>
        </w:rPr>
        <w:t>1.</w:t>
      </w:r>
      <w:r w:rsidRPr="00A27C6F">
        <w:rPr>
          <w:rFonts w:ascii="Verdana" w:hAnsi="Verdana"/>
          <w:sz w:val="18"/>
          <w:szCs w:val="18"/>
        </w:rPr>
        <w:tab/>
      </w:r>
      <w:r w:rsidR="00A27C6F" w:rsidRPr="00A27C6F">
        <w:rPr>
          <w:rFonts w:ascii="Verdana" w:hAnsi="Verdana"/>
          <w:sz w:val="18"/>
          <w:szCs w:val="18"/>
        </w:rPr>
        <w:t>Il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presente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capo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stabilisce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in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via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esclusiva,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ai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sensi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dell'articolo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122,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primo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comma,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della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Costituzione,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i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principi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fondamentali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concernenti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il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sistema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di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elezione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e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i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casi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di</w:t>
      </w:r>
      <w:r w:rsidR="00A27C6F">
        <w:rPr>
          <w:rFonts w:ascii="Verdana" w:hAnsi="Verdana"/>
          <w:sz w:val="18"/>
          <w:szCs w:val="18"/>
        </w:rPr>
        <w:t xml:space="preserve"> ineleggibilità </w:t>
      </w:r>
      <w:r w:rsidR="00A27C6F" w:rsidRPr="00A27C6F">
        <w:rPr>
          <w:rFonts w:ascii="Verdana" w:hAnsi="Verdana"/>
          <w:sz w:val="18"/>
          <w:szCs w:val="18"/>
        </w:rPr>
        <w:t>e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di</w:t>
      </w:r>
      <w:r w:rsidR="00A27C6F">
        <w:rPr>
          <w:rFonts w:ascii="Verdana" w:hAnsi="Verdana"/>
          <w:sz w:val="18"/>
          <w:szCs w:val="18"/>
        </w:rPr>
        <w:t xml:space="preserve"> incompatibilità</w:t>
      </w:r>
      <w:r w:rsidR="00A27C6F" w:rsidRPr="00A27C6F">
        <w:rPr>
          <w:rFonts w:ascii="Verdana" w:hAnsi="Verdana"/>
          <w:sz w:val="18"/>
          <w:szCs w:val="18"/>
        </w:rPr>
        <w:t xml:space="preserve"> del Presidente e degli altri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componenti</w:t>
      </w:r>
      <w:r w:rsidR="00A27C6F">
        <w:rPr>
          <w:rFonts w:ascii="Verdana" w:hAnsi="Verdana"/>
          <w:sz w:val="18"/>
          <w:szCs w:val="18"/>
        </w:rPr>
        <w:t xml:space="preserve"> della Giunta regionale, nonché</w:t>
      </w:r>
      <w:r w:rsidR="00A27C6F" w:rsidRPr="00A27C6F">
        <w:rPr>
          <w:rFonts w:ascii="Verdana" w:hAnsi="Verdana"/>
          <w:sz w:val="18"/>
          <w:szCs w:val="18"/>
        </w:rPr>
        <w:t xml:space="preserve"> dei consiglieri regionali.</w:t>
      </w:r>
    </w:p>
    <w:p w:rsidR="00A27C6F" w:rsidRPr="00A27C6F" w:rsidRDefault="00A27C6F" w:rsidP="00A27C6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A27C6F" w:rsidRPr="00A27C6F" w:rsidRDefault="00A27C6F" w:rsidP="00A27C6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A27C6F">
        <w:rPr>
          <w:rFonts w:ascii="Verdana" w:hAnsi="Verdana" w:cs="Arial"/>
          <w:b/>
          <w:color w:val="1F497D" w:themeColor="text2"/>
          <w:sz w:val="18"/>
          <w:szCs w:val="18"/>
        </w:rPr>
        <w:t>Art. 2. - Disposizioni di principio, in attuazione dell'articolo 122, primo comma, della Costituzione, in materia di ineleggibilità</w:t>
      </w:r>
    </w:p>
    <w:p w:rsidR="00A27C6F" w:rsidRPr="00A27C6F" w:rsidRDefault="00A27C6F" w:rsidP="00A27C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27C6F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A27C6F">
        <w:rPr>
          <w:rFonts w:ascii="Verdana" w:hAnsi="Verdana"/>
          <w:sz w:val="18"/>
          <w:szCs w:val="18"/>
        </w:rPr>
        <w:t>Fatte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salve le disposizioni legislative statali in materia di</w:t>
      </w:r>
      <w:r>
        <w:rPr>
          <w:rFonts w:ascii="Verdana" w:hAnsi="Verdana"/>
          <w:sz w:val="18"/>
          <w:szCs w:val="18"/>
        </w:rPr>
        <w:t xml:space="preserve"> incandidabilità </w:t>
      </w:r>
      <w:r w:rsidRPr="00A27C6F">
        <w:rPr>
          <w:rFonts w:ascii="Verdana" w:hAnsi="Verdana"/>
          <w:sz w:val="18"/>
          <w:szCs w:val="18"/>
        </w:rPr>
        <w:t>per coloro che hanno riportato sentenze di condanna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confronti sono state applicate misure di prevenzione, le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regioni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disciplinano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casi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ineleggibilità</w:t>
      </w:r>
      <w:r w:rsidRPr="00A27C6F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specificamente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individuati,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all'articolo 122, primo comma,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della Costituzione, nei limiti dei seguenti principi fondamentali:</w:t>
      </w:r>
    </w:p>
    <w:p w:rsidR="00A27C6F" w:rsidRPr="00A27C6F" w:rsidRDefault="00A27C6F" w:rsidP="00A27C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27C6F">
        <w:rPr>
          <w:rFonts w:ascii="Verdana" w:hAnsi="Verdana"/>
          <w:i/>
          <w:sz w:val="18"/>
          <w:szCs w:val="18"/>
        </w:rPr>
        <w:t>a)</w:t>
      </w:r>
      <w:r w:rsidRPr="00A27C6F">
        <w:rPr>
          <w:rFonts w:ascii="Verdana" w:hAnsi="Verdana"/>
          <w:sz w:val="18"/>
          <w:szCs w:val="18"/>
        </w:rPr>
        <w:t xml:space="preserve"> sussistenz</w:t>
      </w:r>
      <w:r>
        <w:rPr>
          <w:rFonts w:ascii="Verdana" w:hAnsi="Verdana"/>
          <w:sz w:val="18"/>
          <w:szCs w:val="18"/>
        </w:rPr>
        <w:t xml:space="preserve">a delle cause di ineleggibilità qualora le attività </w:t>
      </w:r>
      <w:r w:rsidRPr="00A27C6F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funzioni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svolte dal candidato, anche in relazione a peculiari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situazioni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regioni,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possano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turbare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o condizionare in modo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diretto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libera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decisione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di voto degli elettori ovvero possano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violare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parità </w:t>
      </w:r>
      <w:r w:rsidRPr="00A27C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accesso alle cariche elettive rispetto agli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altri candidati;</w:t>
      </w:r>
    </w:p>
    <w:p w:rsidR="00A27C6F" w:rsidRPr="00A27C6F" w:rsidRDefault="00A27C6F" w:rsidP="00A27C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27C6F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inefficacia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cause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ine</w:t>
      </w:r>
      <w:r>
        <w:rPr>
          <w:rFonts w:ascii="Verdana" w:hAnsi="Verdana"/>
          <w:sz w:val="18"/>
          <w:szCs w:val="18"/>
        </w:rPr>
        <w:t xml:space="preserve">leggibilità </w:t>
      </w:r>
      <w:r w:rsidRPr="00A27C6F">
        <w:rPr>
          <w:rFonts w:ascii="Verdana" w:hAnsi="Verdana"/>
          <w:sz w:val="18"/>
          <w:szCs w:val="18"/>
        </w:rPr>
        <w:t>qualora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interessati</w:t>
      </w:r>
      <w:r>
        <w:rPr>
          <w:rFonts w:ascii="Verdana" w:hAnsi="Verdana"/>
          <w:sz w:val="18"/>
          <w:szCs w:val="18"/>
        </w:rPr>
        <w:t xml:space="preserve"> cessino dalle attività</w:t>
      </w:r>
      <w:r w:rsidRPr="00A27C6F">
        <w:rPr>
          <w:rFonts w:ascii="Verdana" w:hAnsi="Verdana"/>
          <w:sz w:val="18"/>
          <w:szCs w:val="18"/>
        </w:rPr>
        <w:t xml:space="preserve"> o dalle funzioni che determinano</w:t>
      </w:r>
      <w:r>
        <w:rPr>
          <w:rFonts w:ascii="Verdana" w:hAnsi="Verdana"/>
          <w:sz w:val="18"/>
          <w:szCs w:val="18"/>
        </w:rPr>
        <w:t xml:space="preserve"> l'ineleggibilità</w:t>
      </w:r>
      <w:r w:rsidRPr="00A27C6F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oltre il giorno fissato per la presentazione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candidature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altro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termine anteriore altrimenti stabilito,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ferma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restando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tutela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del diritto al mantenimento del posto di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lavoro, pubblico o privato, del candidato;</w:t>
      </w:r>
    </w:p>
    <w:p w:rsidR="00A27C6F" w:rsidRPr="00A27C6F" w:rsidRDefault="00A27C6F" w:rsidP="00A27C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27C6F">
        <w:rPr>
          <w:rFonts w:ascii="Verdana" w:hAnsi="Verdana"/>
          <w:i/>
          <w:sz w:val="18"/>
          <w:szCs w:val="18"/>
        </w:rPr>
        <w:t>c)</w:t>
      </w:r>
      <w:r w:rsidRPr="00A27C6F">
        <w:rPr>
          <w:rFonts w:ascii="Verdana" w:hAnsi="Verdana"/>
          <w:sz w:val="18"/>
          <w:szCs w:val="18"/>
        </w:rPr>
        <w:t xml:space="preserve"> applicazione della d</w:t>
      </w:r>
      <w:r>
        <w:rPr>
          <w:rFonts w:ascii="Verdana" w:hAnsi="Verdana"/>
          <w:sz w:val="18"/>
          <w:szCs w:val="18"/>
        </w:rPr>
        <w:t>isciplina delle incompatibilità</w:t>
      </w:r>
      <w:r w:rsidRPr="00A27C6F">
        <w:rPr>
          <w:rFonts w:ascii="Verdana" w:hAnsi="Verdana"/>
          <w:sz w:val="18"/>
          <w:szCs w:val="18"/>
        </w:rPr>
        <w:t xml:space="preserve"> alle cause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ineleggibilità </w:t>
      </w:r>
      <w:r w:rsidRPr="00A27C6F">
        <w:rPr>
          <w:rFonts w:ascii="Verdana" w:hAnsi="Verdana"/>
          <w:sz w:val="18"/>
          <w:szCs w:val="18"/>
        </w:rPr>
        <w:t>sopravvenute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alle elezioni qualora ricorrano le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 xml:space="preserve">condizioni previste dall'articolo 3, comma 1, lettere </w:t>
      </w:r>
      <w:r w:rsidRPr="00A27C6F">
        <w:rPr>
          <w:rFonts w:ascii="Verdana" w:hAnsi="Verdana"/>
          <w:i/>
          <w:sz w:val="18"/>
          <w:szCs w:val="18"/>
        </w:rPr>
        <w:t>a)</w:t>
      </w:r>
      <w:r w:rsidRPr="00A27C6F">
        <w:rPr>
          <w:rFonts w:ascii="Verdana" w:hAnsi="Verdana"/>
          <w:sz w:val="18"/>
          <w:szCs w:val="18"/>
        </w:rPr>
        <w:t xml:space="preserve"> e </w:t>
      </w:r>
      <w:r w:rsidRPr="00A27C6F">
        <w:rPr>
          <w:rFonts w:ascii="Verdana" w:hAnsi="Verdana"/>
          <w:i/>
          <w:sz w:val="18"/>
          <w:szCs w:val="18"/>
        </w:rPr>
        <w:t>b)</w:t>
      </w:r>
      <w:r w:rsidRPr="00A27C6F">
        <w:rPr>
          <w:rFonts w:ascii="Verdana" w:hAnsi="Verdana"/>
          <w:sz w:val="18"/>
          <w:szCs w:val="18"/>
        </w:rPr>
        <w:t>;</w:t>
      </w:r>
    </w:p>
    <w:p w:rsidR="00A27C6F" w:rsidRPr="00A27C6F" w:rsidRDefault="00A27C6F" w:rsidP="00A27C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27C6F">
        <w:rPr>
          <w:rFonts w:ascii="Verdana" w:hAnsi="Verdana"/>
          <w:i/>
          <w:sz w:val="18"/>
          <w:szCs w:val="18"/>
        </w:rPr>
        <w:t>d)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attribuzione ai Consigli regionali della competenza a decidere</w:t>
      </w:r>
      <w:r>
        <w:rPr>
          <w:rFonts w:ascii="Verdana" w:hAnsi="Verdana"/>
          <w:sz w:val="18"/>
          <w:szCs w:val="18"/>
        </w:rPr>
        <w:t xml:space="preserve"> sulle cause di ineleggibilità</w:t>
      </w:r>
      <w:r w:rsidRPr="00A27C6F">
        <w:rPr>
          <w:rFonts w:ascii="Verdana" w:hAnsi="Verdana"/>
          <w:sz w:val="18"/>
          <w:szCs w:val="18"/>
        </w:rPr>
        <w:t xml:space="preserve"> dei propri componenti e del Presidente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Giunta eletto a suffragio universale e diretto, fatta salva la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competenza</w:t>
      </w:r>
      <w:r>
        <w:rPr>
          <w:rFonts w:ascii="Verdana" w:hAnsi="Verdana"/>
          <w:sz w:val="18"/>
          <w:szCs w:val="18"/>
        </w:rPr>
        <w:t xml:space="preserve"> dell'autorità </w:t>
      </w:r>
      <w:r w:rsidRPr="00A27C6F">
        <w:rPr>
          <w:rFonts w:ascii="Verdana" w:hAnsi="Verdana"/>
          <w:sz w:val="18"/>
          <w:szCs w:val="18"/>
        </w:rPr>
        <w:t>giudiziaria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decidere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sui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relativi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ricorsi.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 xml:space="preserve">L'esercizio delle rispettive funzioni </w:t>
      </w:r>
      <w:r>
        <w:rPr>
          <w:rFonts w:ascii="Verdana" w:hAnsi="Verdana"/>
          <w:sz w:val="18"/>
          <w:szCs w:val="18"/>
        </w:rPr>
        <w:t>è</w:t>
      </w:r>
      <w:r w:rsidRPr="00A27C6F">
        <w:rPr>
          <w:rFonts w:ascii="Verdana" w:hAnsi="Verdana"/>
          <w:sz w:val="18"/>
          <w:szCs w:val="18"/>
        </w:rPr>
        <w:t xml:space="preserve"> comunque garantito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fino alla pronuncia definitiva sugli stessi ricorsi;</w:t>
      </w:r>
    </w:p>
    <w:p w:rsidR="00A27C6F" w:rsidRPr="00A27C6F" w:rsidRDefault="00A27C6F" w:rsidP="00A27C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27C6F">
        <w:rPr>
          <w:rFonts w:ascii="Verdana" w:hAnsi="Verdana"/>
          <w:i/>
          <w:sz w:val="18"/>
          <w:szCs w:val="18"/>
        </w:rPr>
        <w:t>e)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eventuale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differenziazione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disciplina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dell'</w:t>
      </w:r>
      <w:r>
        <w:rPr>
          <w:rFonts w:ascii="Verdana" w:hAnsi="Verdana"/>
          <w:sz w:val="18"/>
          <w:szCs w:val="18"/>
        </w:rPr>
        <w:t>ineleggibilità</w:t>
      </w:r>
      <w:r w:rsidRPr="00A27C6F">
        <w:rPr>
          <w:rFonts w:ascii="Verdana" w:hAnsi="Verdana"/>
          <w:sz w:val="18"/>
          <w:szCs w:val="18"/>
        </w:rPr>
        <w:t xml:space="preserve"> nei confronti del Presidente della Giunta regionale 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dei consiglieri regionali;</w:t>
      </w:r>
    </w:p>
    <w:p w:rsidR="00A27C6F" w:rsidRPr="00A27C6F" w:rsidRDefault="00A27C6F" w:rsidP="00A27C6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A27C6F">
        <w:rPr>
          <w:rFonts w:ascii="Verdana" w:hAnsi="Verdana"/>
          <w:i/>
          <w:sz w:val="18"/>
          <w:szCs w:val="18"/>
        </w:rPr>
        <w:t>f)</w:t>
      </w:r>
      <w:r w:rsidRPr="00A27C6F">
        <w:rPr>
          <w:rFonts w:ascii="Verdana" w:hAnsi="Verdana"/>
          <w:sz w:val="18"/>
          <w:szCs w:val="18"/>
        </w:rPr>
        <w:t xml:space="preserve"> previsione del</w:t>
      </w:r>
      <w:r>
        <w:rPr>
          <w:rFonts w:ascii="Verdana" w:hAnsi="Verdana"/>
          <w:sz w:val="18"/>
          <w:szCs w:val="18"/>
        </w:rPr>
        <w:t>la non immediata rieleggibilità</w:t>
      </w:r>
      <w:r w:rsidRPr="00A27C6F">
        <w:rPr>
          <w:rFonts w:ascii="Verdana" w:hAnsi="Verdana"/>
          <w:sz w:val="18"/>
          <w:szCs w:val="18"/>
        </w:rPr>
        <w:t xml:space="preserve"> allo scadere del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mandato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consecutivo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Presidente della Giunta regionale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eletto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suffragio universale e diretto, sulla base della normativa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regionale adottata in materia.</w:t>
      </w:r>
    </w:p>
    <w:p w:rsidR="00A27C6F" w:rsidRDefault="00A27C6F" w:rsidP="00A27C6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A27C6F" w:rsidRPr="00A27C6F" w:rsidRDefault="00A27C6F" w:rsidP="00A27C6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A27C6F">
        <w:rPr>
          <w:rFonts w:ascii="Verdana" w:hAnsi="Verdana" w:cs="Arial"/>
          <w:b/>
          <w:color w:val="1F497D" w:themeColor="text2"/>
          <w:sz w:val="18"/>
          <w:szCs w:val="18"/>
        </w:rPr>
        <w:lastRenderedPageBreak/>
        <w:t>Art. 3. - Disposizioni di principio, in attuazione dell'articolo 122, primo comma, della Costituzione, in materia di incompatibilità</w:t>
      </w:r>
    </w:p>
    <w:p w:rsidR="00A27C6F" w:rsidRPr="00A27C6F" w:rsidRDefault="00A27C6F" w:rsidP="00A27C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27C6F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A27C6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 xml:space="preserve">regioni disciplinano con </w:t>
      </w:r>
      <w:r>
        <w:rPr>
          <w:rFonts w:ascii="Verdana" w:hAnsi="Verdana"/>
          <w:sz w:val="18"/>
          <w:szCs w:val="18"/>
        </w:rPr>
        <w:t>legge i casi di incompatibilità</w:t>
      </w:r>
      <w:r w:rsidRPr="00A27C6F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specificatamente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individuati,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di cui all'articolo 122, primo comma,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della Costituzione, nei limiti dei seguenti principi fondamentali:</w:t>
      </w:r>
    </w:p>
    <w:p w:rsidR="00A27C6F" w:rsidRPr="00A27C6F" w:rsidRDefault="00A27C6F" w:rsidP="00A27C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27C6F">
        <w:rPr>
          <w:rFonts w:ascii="Verdana" w:hAnsi="Verdana"/>
          <w:i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sussistenza di cause di incompatibi</w:t>
      </w:r>
      <w:r>
        <w:rPr>
          <w:rFonts w:ascii="Verdana" w:hAnsi="Verdana"/>
          <w:sz w:val="18"/>
          <w:szCs w:val="18"/>
        </w:rPr>
        <w:t>lità</w:t>
      </w:r>
      <w:r w:rsidRPr="00A27C6F">
        <w:rPr>
          <w:rFonts w:ascii="Verdana" w:hAnsi="Verdana"/>
          <w:sz w:val="18"/>
          <w:szCs w:val="18"/>
        </w:rPr>
        <w:t>, in caso di conflitto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le funzioni svolte dal Presidente o dagli altri componenti della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regionale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consiglieri regionali e altre situazioni 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cariche, comprese quelle elettive, suscettibile, anche in relazione 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peculiari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condizioni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regioni,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compromettere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buon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andamento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l'imparzialità </w:t>
      </w:r>
      <w:r w:rsidRPr="00A27C6F">
        <w:rPr>
          <w:rFonts w:ascii="Verdana" w:hAnsi="Verdana"/>
          <w:sz w:val="18"/>
          <w:szCs w:val="18"/>
        </w:rPr>
        <w:t>dell'amministrazione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ovvero il libero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espletamento della carica elettiva;</w:t>
      </w:r>
    </w:p>
    <w:p w:rsidR="00A27C6F" w:rsidRPr="00A27C6F" w:rsidRDefault="00A27C6F" w:rsidP="00A27C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27C6F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sussiste</w:t>
      </w:r>
      <w:r>
        <w:rPr>
          <w:rFonts w:ascii="Verdana" w:hAnsi="Verdana"/>
          <w:sz w:val="18"/>
          <w:szCs w:val="18"/>
        </w:rPr>
        <w:t>nza di cause di incompatibilità</w:t>
      </w:r>
      <w:r w:rsidRPr="00A27C6F">
        <w:rPr>
          <w:rFonts w:ascii="Verdana" w:hAnsi="Verdana"/>
          <w:sz w:val="18"/>
          <w:szCs w:val="18"/>
        </w:rPr>
        <w:t>, in caso di conflitto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le funzioni svolte dal Presidente o dagli altri componenti della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Giunta regionale o dai consiglieri regionali e le funzioni svolte dai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medesimi presso organismi internazionali o sopranazionali;</w:t>
      </w:r>
    </w:p>
    <w:p w:rsidR="00A27C6F" w:rsidRPr="00A27C6F" w:rsidRDefault="00A27C6F" w:rsidP="00A27C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27C6F">
        <w:rPr>
          <w:rFonts w:ascii="Verdana" w:hAnsi="Verdana"/>
          <w:i/>
          <w:sz w:val="18"/>
          <w:szCs w:val="18"/>
        </w:rPr>
        <w:t>c)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eventuale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 xml:space="preserve">sussistenza </w:t>
      </w:r>
      <w:r>
        <w:rPr>
          <w:rFonts w:ascii="Verdana" w:hAnsi="Verdana"/>
          <w:sz w:val="18"/>
          <w:szCs w:val="18"/>
        </w:rPr>
        <w:t>di una causa di incompatibilità</w:t>
      </w:r>
      <w:r w:rsidRPr="00A27C6F">
        <w:rPr>
          <w:rFonts w:ascii="Verdana" w:hAnsi="Verdana"/>
          <w:sz w:val="18"/>
          <w:szCs w:val="18"/>
        </w:rPr>
        <w:t xml:space="preserve"> tra la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carica di assessore regionale e quella di consigliere regionale;</w:t>
      </w:r>
    </w:p>
    <w:p w:rsidR="00A27C6F" w:rsidRPr="00A27C6F" w:rsidRDefault="00A27C6F" w:rsidP="00A27C6F">
      <w:pPr>
        <w:tabs>
          <w:tab w:val="left" w:pos="426"/>
        </w:tabs>
        <w:spacing w:after="20"/>
        <w:jc w:val="both"/>
        <w:rPr>
          <w:rFonts w:ascii="Verdana" w:hAnsi="Verdana"/>
          <w:sz w:val="18"/>
          <w:szCs w:val="18"/>
        </w:rPr>
      </w:pPr>
      <w:r w:rsidRPr="00A27C6F">
        <w:rPr>
          <w:rFonts w:ascii="Verdana" w:hAnsi="Verdana"/>
          <w:i/>
          <w:sz w:val="18"/>
          <w:szCs w:val="18"/>
        </w:rPr>
        <w:t>d)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in caso di previsione</w:t>
      </w:r>
      <w:r>
        <w:rPr>
          <w:rFonts w:ascii="Verdana" w:hAnsi="Verdana"/>
          <w:sz w:val="18"/>
          <w:szCs w:val="18"/>
        </w:rPr>
        <w:t xml:space="preserve"> della causa di incompatibilità</w:t>
      </w:r>
      <w:r w:rsidRPr="00A27C6F">
        <w:rPr>
          <w:rFonts w:ascii="Verdana" w:hAnsi="Verdana"/>
          <w:sz w:val="18"/>
          <w:szCs w:val="18"/>
        </w:rPr>
        <w:t xml:space="preserve"> per lite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pendente con la regione, osservanza dei seguenti criteri:</w:t>
      </w:r>
    </w:p>
    <w:p w:rsidR="00A27C6F" w:rsidRPr="00A27C6F" w:rsidRDefault="00A27C6F" w:rsidP="00A27C6F">
      <w:pPr>
        <w:tabs>
          <w:tab w:val="left" w:pos="426"/>
        </w:tabs>
        <w:spacing w:after="20"/>
        <w:ind w:left="426"/>
        <w:jc w:val="both"/>
        <w:rPr>
          <w:rFonts w:ascii="Verdana" w:hAnsi="Verdana"/>
          <w:sz w:val="18"/>
          <w:szCs w:val="18"/>
        </w:rPr>
      </w:pPr>
      <w:r w:rsidRPr="00A27C6F">
        <w:rPr>
          <w:rFonts w:ascii="Verdana" w:hAnsi="Verdana"/>
          <w:i/>
          <w:sz w:val="18"/>
          <w:szCs w:val="18"/>
        </w:rPr>
        <w:t>1)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previsione</w:t>
      </w:r>
      <w:r>
        <w:rPr>
          <w:rFonts w:ascii="Verdana" w:hAnsi="Verdana"/>
          <w:sz w:val="18"/>
          <w:szCs w:val="18"/>
        </w:rPr>
        <w:t xml:space="preserve"> della incompatibilità</w:t>
      </w:r>
      <w:r w:rsidRPr="00A27C6F">
        <w:rPr>
          <w:rFonts w:ascii="Verdana" w:hAnsi="Verdana"/>
          <w:sz w:val="18"/>
          <w:szCs w:val="18"/>
        </w:rPr>
        <w:t xml:space="preserve"> nel caso in cui il soggetto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sia parte attiva della lite;</w:t>
      </w:r>
    </w:p>
    <w:p w:rsidR="00A27C6F" w:rsidRPr="00A27C6F" w:rsidRDefault="00A27C6F" w:rsidP="00A27C6F">
      <w:pPr>
        <w:tabs>
          <w:tab w:val="left" w:pos="426"/>
        </w:tabs>
        <w:spacing w:after="60"/>
        <w:ind w:left="426"/>
        <w:jc w:val="both"/>
        <w:rPr>
          <w:rFonts w:ascii="Verdana" w:hAnsi="Verdana"/>
          <w:sz w:val="18"/>
          <w:szCs w:val="18"/>
        </w:rPr>
      </w:pPr>
      <w:r w:rsidRPr="00A27C6F">
        <w:rPr>
          <w:rFonts w:ascii="Verdana" w:hAnsi="Verdana"/>
          <w:i/>
          <w:sz w:val="18"/>
          <w:szCs w:val="18"/>
        </w:rPr>
        <w:t>2)</w:t>
      </w:r>
      <w:r w:rsidRPr="00A27C6F">
        <w:rPr>
          <w:rFonts w:ascii="Verdana" w:hAnsi="Verdana"/>
          <w:sz w:val="18"/>
          <w:szCs w:val="18"/>
        </w:rPr>
        <w:t xml:space="preserve"> qualora il soggetto non sia parte attiva della lite, previsione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incompatibilità </w:t>
      </w:r>
      <w:r w:rsidRPr="00A27C6F">
        <w:rPr>
          <w:rFonts w:ascii="Verdana" w:hAnsi="Verdana"/>
          <w:sz w:val="18"/>
          <w:szCs w:val="18"/>
        </w:rPr>
        <w:t>esclusivamente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lite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medesima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conseguente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promossa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seguito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di giudizio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definito con sentenza passata in giudicato;</w:t>
      </w:r>
    </w:p>
    <w:p w:rsidR="00A27C6F" w:rsidRPr="00A27C6F" w:rsidRDefault="00A27C6F" w:rsidP="00A27C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27C6F">
        <w:rPr>
          <w:rFonts w:ascii="Verdana" w:hAnsi="Verdana"/>
          <w:i/>
          <w:sz w:val="18"/>
          <w:szCs w:val="18"/>
        </w:rPr>
        <w:t>e)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attribuzione ai Consigli regionali della competenza a decidere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sulle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cause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incompatibilità </w:t>
      </w:r>
      <w:r w:rsidRPr="00A27C6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propri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componenti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eletto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suffragio universale e diretto,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fatta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salva</w:t>
      </w:r>
      <w:r>
        <w:rPr>
          <w:rFonts w:ascii="Verdana" w:hAnsi="Verdana"/>
          <w:sz w:val="18"/>
          <w:szCs w:val="18"/>
        </w:rPr>
        <w:t xml:space="preserve"> la competenza dell'autorità</w:t>
      </w:r>
      <w:r w:rsidRPr="00A27C6F">
        <w:rPr>
          <w:rFonts w:ascii="Verdana" w:hAnsi="Verdana"/>
          <w:sz w:val="18"/>
          <w:szCs w:val="18"/>
        </w:rPr>
        <w:t xml:space="preserve"> giudiziaria a decidere sui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relativi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ricorsi.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 xml:space="preserve">L'esercizio delle rispettive funzioni </w:t>
      </w:r>
      <w:r>
        <w:rPr>
          <w:rFonts w:ascii="Verdana" w:hAnsi="Verdana"/>
          <w:sz w:val="18"/>
          <w:szCs w:val="18"/>
        </w:rPr>
        <w:t>è</w:t>
      </w:r>
      <w:r w:rsidRPr="00A27C6F">
        <w:rPr>
          <w:rFonts w:ascii="Verdana" w:hAnsi="Verdana"/>
          <w:sz w:val="18"/>
          <w:szCs w:val="18"/>
        </w:rPr>
        <w:t xml:space="preserve"> comunque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garantito fino alla pronuncia definitiva sugli stessi ricorsi;</w:t>
      </w:r>
    </w:p>
    <w:p w:rsidR="00A27C6F" w:rsidRPr="00A27C6F" w:rsidRDefault="00A27C6F" w:rsidP="00A27C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27C6F">
        <w:rPr>
          <w:rFonts w:ascii="Verdana" w:hAnsi="Verdana"/>
          <w:i/>
          <w:sz w:val="18"/>
          <w:szCs w:val="18"/>
        </w:rPr>
        <w:t>f)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eventuale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differenziazione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disciplina</w:t>
      </w:r>
      <w:r>
        <w:rPr>
          <w:rFonts w:ascii="Verdana" w:hAnsi="Verdana"/>
          <w:sz w:val="18"/>
          <w:szCs w:val="18"/>
        </w:rPr>
        <w:t xml:space="preserve"> dell'incompatibilità </w:t>
      </w:r>
      <w:r w:rsidRPr="00A27C6F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confronti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regionale,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altri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componenti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stessa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consiglieri regionali;</w:t>
      </w:r>
    </w:p>
    <w:p w:rsidR="00A27C6F" w:rsidRDefault="00A27C6F" w:rsidP="00A27C6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A27C6F">
        <w:rPr>
          <w:rFonts w:ascii="Verdana" w:hAnsi="Verdana"/>
          <w:i/>
          <w:sz w:val="18"/>
          <w:szCs w:val="18"/>
        </w:rPr>
        <w:t>g)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fissazione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termine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dall'accertamento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della causa di</w:t>
      </w:r>
      <w:r>
        <w:rPr>
          <w:rFonts w:ascii="Verdana" w:hAnsi="Verdana"/>
          <w:sz w:val="18"/>
          <w:szCs w:val="18"/>
        </w:rPr>
        <w:t xml:space="preserve"> incompatibilità</w:t>
      </w:r>
      <w:r w:rsidRPr="00A27C6F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superiore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a trenta giorni, entro il quale, 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pena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decadenza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dalla carica, deve essere esercitata l'opzione 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deve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cessare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causa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determina</w:t>
      </w:r>
      <w:r>
        <w:rPr>
          <w:rFonts w:ascii="Verdana" w:hAnsi="Verdana"/>
          <w:sz w:val="18"/>
          <w:szCs w:val="18"/>
        </w:rPr>
        <w:t xml:space="preserve"> l'incompatibilità</w:t>
      </w:r>
      <w:r w:rsidRPr="00A27C6F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ferma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restando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la tutela del diritto dell'eletto al mantenimento del posto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di lavoro, pubblico o privato.</w:t>
      </w:r>
    </w:p>
    <w:p w:rsidR="00A27C6F" w:rsidRPr="00A27C6F" w:rsidRDefault="00A27C6F" w:rsidP="00A27C6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A27C6F" w:rsidRPr="00A27C6F" w:rsidRDefault="00A27C6F" w:rsidP="00A27C6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A27C6F">
        <w:rPr>
          <w:rFonts w:ascii="Verdana" w:hAnsi="Verdana" w:cs="Arial"/>
          <w:b/>
          <w:color w:val="1F497D" w:themeColor="text2"/>
          <w:sz w:val="18"/>
          <w:szCs w:val="18"/>
        </w:rPr>
        <w:t>Art. 4. - Disposizioni di principio, in attuazione dell'articolo 122, primo comma, della Costituzione, in materia di sistema di elezione</w:t>
      </w:r>
    </w:p>
    <w:p w:rsidR="00A27C6F" w:rsidRPr="00A27C6F" w:rsidRDefault="00A27C6F" w:rsidP="00A27C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27C6F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A27C6F">
        <w:rPr>
          <w:rFonts w:ascii="Verdana" w:hAnsi="Verdana"/>
          <w:sz w:val="18"/>
          <w:szCs w:val="18"/>
        </w:rPr>
        <w:t>Le regioni disciplinano con legge il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sistema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elezione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Presidente della Giunta regionale 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consiglieri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regionali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 xml:space="preserve">limiti dei seguenti principi fondamentali: </w:t>
      </w:r>
    </w:p>
    <w:p w:rsidR="00A27C6F" w:rsidRPr="00A27C6F" w:rsidRDefault="00A27C6F" w:rsidP="00A27C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27C6F">
        <w:rPr>
          <w:rFonts w:ascii="Verdana" w:hAnsi="Verdana"/>
          <w:i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individuazione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sistema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agevoli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formazione di stabili maggioranze nel Consiglio regionale 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assicuri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 xml:space="preserve">la rappresentanza delle minoranze; </w:t>
      </w:r>
    </w:p>
    <w:p w:rsidR="00A27C6F" w:rsidRPr="00A27C6F" w:rsidRDefault="00A27C6F" w:rsidP="00A27C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27C6F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contestualità </w:t>
      </w:r>
      <w:r w:rsidRPr="00A27C6F">
        <w:rPr>
          <w:rFonts w:ascii="Verdana" w:hAnsi="Verdana"/>
          <w:sz w:val="18"/>
          <w:szCs w:val="18"/>
        </w:rPr>
        <w:t>dell'elezione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regionale e del Consiglio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regionale, se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è </w:t>
      </w:r>
      <w:r w:rsidRPr="00A27C6F">
        <w:rPr>
          <w:rFonts w:ascii="Verdana" w:hAnsi="Verdana"/>
          <w:sz w:val="18"/>
          <w:szCs w:val="18"/>
        </w:rPr>
        <w:t>eletto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suffragio universale 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diretto.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Previsione,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regione adotti l'ipotesi di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elezione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regionale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modalità </w:t>
      </w:r>
      <w:r w:rsidRPr="00A27C6F">
        <w:rPr>
          <w:rFonts w:ascii="Verdana" w:hAnsi="Verdana"/>
          <w:sz w:val="18"/>
          <w:szCs w:val="18"/>
        </w:rPr>
        <w:t>diverse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suffragio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universale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diretto, di termini temporali tassativi,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comunque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superiori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novanta giorni, per l'elezione del Presidente e per l'elezione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 xml:space="preserve">nomina degli altri componenti della Giunta; </w:t>
      </w:r>
    </w:p>
    <w:p w:rsidR="00A27C6F" w:rsidRPr="00A27C6F" w:rsidRDefault="00A27C6F" w:rsidP="00A27C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27C6F">
        <w:rPr>
          <w:rFonts w:ascii="Verdana" w:hAnsi="Verdana"/>
          <w:i/>
          <w:sz w:val="18"/>
          <w:szCs w:val="18"/>
        </w:rPr>
        <w:t>c)</w:t>
      </w:r>
      <w:r>
        <w:rPr>
          <w:rFonts w:ascii="Verdana" w:hAnsi="Verdana"/>
          <w:sz w:val="18"/>
          <w:szCs w:val="18"/>
        </w:rPr>
        <w:t xml:space="preserve"> divieto di mandato imperativo;</w:t>
      </w:r>
    </w:p>
    <w:p w:rsidR="00A27C6F" w:rsidRPr="00A27C6F" w:rsidRDefault="00A27C6F" w:rsidP="00A27C6F">
      <w:pPr>
        <w:tabs>
          <w:tab w:val="left" w:pos="426"/>
        </w:tabs>
        <w:spacing w:after="20"/>
        <w:jc w:val="both"/>
        <w:rPr>
          <w:rFonts w:ascii="Verdana" w:hAnsi="Verdana"/>
          <w:sz w:val="18"/>
          <w:szCs w:val="18"/>
        </w:rPr>
      </w:pPr>
      <w:r w:rsidRPr="00A27C6F">
        <w:rPr>
          <w:rFonts w:ascii="Verdana" w:hAnsi="Verdana"/>
          <w:i/>
          <w:sz w:val="18"/>
          <w:szCs w:val="18"/>
        </w:rPr>
        <w:t>c-bis)</w:t>
      </w:r>
      <w:r w:rsidRPr="00A27C6F">
        <w:rPr>
          <w:rFonts w:ascii="Verdana" w:hAnsi="Verdana"/>
          <w:sz w:val="18"/>
          <w:szCs w:val="18"/>
        </w:rPr>
        <w:t xml:space="preserve"> pr</w:t>
      </w:r>
      <w:r>
        <w:rPr>
          <w:rFonts w:ascii="Verdana" w:hAnsi="Verdana"/>
          <w:sz w:val="18"/>
          <w:szCs w:val="18"/>
        </w:rPr>
        <w:t>omozione delle pari opportunità</w:t>
      </w:r>
      <w:r w:rsidRPr="00A27C6F">
        <w:rPr>
          <w:rFonts w:ascii="Verdana" w:hAnsi="Verdana"/>
          <w:sz w:val="18"/>
          <w:szCs w:val="18"/>
        </w:rPr>
        <w:t xml:space="preserve"> tra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donne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uomini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 xml:space="preserve">nell'accesso alle cariche elettive, disponendo che: </w:t>
      </w:r>
    </w:p>
    <w:p w:rsidR="00A27C6F" w:rsidRPr="00A27C6F" w:rsidRDefault="00A27C6F" w:rsidP="00A27C6F">
      <w:pPr>
        <w:tabs>
          <w:tab w:val="left" w:pos="426"/>
        </w:tabs>
        <w:spacing w:after="20"/>
        <w:ind w:left="426"/>
        <w:jc w:val="both"/>
        <w:rPr>
          <w:rFonts w:ascii="Verdana" w:hAnsi="Verdana"/>
          <w:sz w:val="18"/>
          <w:szCs w:val="18"/>
        </w:rPr>
      </w:pPr>
      <w:r w:rsidRPr="00A27C6F">
        <w:rPr>
          <w:rFonts w:ascii="Verdana" w:hAnsi="Verdana"/>
          <w:i/>
          <w:sz w:val="18"/>
          <w:szCs w:val="18"/>
        </w:rPr>
        <w:t>1)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qualora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preveda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l'espressione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preferenze, in ciascuna lista i candidati siano presenti in modo tale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 xml:space="preserve">che quelli dello stesso sesso non eccedano il 60 per </w:t>
      </w:r>
      <w:r w:rsidRPr="00A27C6F">
        <w:rPr>
          <w:rFonts w:ascii="Verdana" w:hAnsi="Verdana"/>
          <w:sz w:val="18"/>
          <w:szCs w:val="18"/>
        </w:rPr>
        <w:lastRenderedPageBreak/>
        <w:t>cento del totale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e sia consentita l'espressione di almeno due preferenze, di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riservata a un candidato di sesso diverso, pena l'annullamento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 xml:space="preserve">preferenze successive alla prima; </w:t>
      </w:r>
    </w:p>
    <w:p w:rsidR="00A27C6F" w:rsidRPr="00A27C6F" w:rsidRDefault="00A27C6F" w:rsidP="00A27C6F">
      <w:pPr>
        <w:tabs>
          <w:tab w:val="left" w:pos="426"/>
        </w:tabs>
        <w:spacing w:after="20"/>
        <w:ind w:left="426"/>
        <w:jc w:val="both"/>
        <w:rPr>
          <w:rFonts w:ascii="Verdana" w:hAnsi="Verdana"/>
          <w:sz w:val="18"/>
          <w:szCs w:val="18"/>
        </w:rPr>
      </w:pPr>
      <w:r w:rsidRPr="00A27C6F">
        <w:rPr>
          <w:rFonts w:ascii="Verdana" w:hAnsi="Verdana"/>
          <w:i/>
          <w:sz w:val="18"/>
          <w:szCs w:val="18"/>
        </w:rPr>
        <w:t>2)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qualora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siano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previste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senza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espressione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preferenze, la legge elettorale disponga l'alternanza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di sesso diverso, in modo tale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sesso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 xml:space="preserve">eccedano il 60 per cento del totale; </w:t>
      </w:r>
    </w:p>
    <w:p w:rsidR="00484B71" w:rsidRPr="00A27C6F" w:rsidRDefault="00A27C6F" w:rsidP="00A27C6F">
      <w:pPr>
        <w:tabs>
          <w:tab w:val="left" w:pos="426"/>
        </w:tabs>
        <w:ind w:left="426"/>
        <w:jc w:val="both"/>
        <w:rPr>
          <w:rFonts w:ascii="Verdana" w:hAnsi="Verdana"/>
          <w:sz w:val="18"/>
          <w:szCs w:val="18"/>
        </w:rPr>
      </w:pPr>
      <w:r w:rsidRPr="00A27C6F">
        <w:rPr>
          <w:rFonts w:ascii="Verdana" w:hAnsi="Verdana"/>
          <w:i/>
          <w:sz w:val="18"/>
          <w:szCs w:val="18"/>
        </w:rPr>
        <w:t>3)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qualora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siano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previsti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collegi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uninominali,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disponga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l'equilibrio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candidature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presentate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col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medesimo simbolo in modo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tale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sesso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ecced</w:t>
      </w:r>
      <w:r>
        <w:rPr>
          <w:rFonts w:ascii="Verdana" w:hAnsi="Verdana"/>
          <w:sz w:val="18"/>
          <w:szCs w:val="18"/>
        </w:rPr>
        <w:t>ano il 60 per cento del totale</w:t>
      </w:r>
      <w:r w:rsidRPr="00A27C6F">
        <w:rPr>
          <w:rFonts w:ascii="Verdana" w:hAnsi="Verdana"/>
          <w:sz w:val="18"/>
          <w:szCs w:val="18"/>
        </w:rPr>
        <w:t>.</w:t>
      </w:r>
      <w:r w:rsidR="00484B71" w:rsidRPr="00A27C6F">
        <w:rPr>
          <w:rFonts w:ascii="Verdana" w:hAnsi="Verdana"/>
          <w:sz w:val="18"/>
          <w:szCs w:val="18"/>
        </w:rPr>
        <w:t xml:space="preserve"> </w:t>
      </w:r>
    </w:p>
    <w:p w:rsidR="005A17C3" w:rsidRPr="00A27C6F" w:rsidRDefault="005A17C3" w:rsidP="00484B71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</w:p>
    <w:p w:rsidR="00484B71" w:rsidRPr="00A27C6F" w:rsidRDefault="00484B71" w:rsidP="00484B71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A27C6F">
        <w:rPr>
          <w:rFonts w:ascii="Verdana" w:hAnsi="Verdana"/>
          <w:i/>
          <w:sz w:val="18"/>
          <w:szCs w:val="18"/>
        </w:rPr>
        <w:t>CAPO II</w:t>
      </w:r>
    </w:p>
    <w:p w:rsidR="00484B71" w:rsidRPr="00A27C6F" w:rsidRDefault="00484B71" w:rsidP="00484B71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A27C6F">
        <w:rPr>
          <w:rFonts w:ascii="Verdana" w:hAnsi="Verdana" w:cs="Arial"/>
          <w:b/>
          <w:color w:val="1F497D" w:themeColor="text2"/>
          <w:sz w:val="18"/>
          <w:szCs w:val="18"/>
        </w:rPr>
        <w:t>Art. 5. - Durata degli organi elettivi regionali</w:t>
      </w:r>
    </w:p>
    <w:p w:rsidR="00A27C6F" w:rsidRPr="00A27C6F" w:rsidRDefault="00484B71" w:rsidP="00A27C6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A27C6F">
        <w:rPr>
          <w:rFonts w:ascii="Verdana" w:hAnsi="Verdana"/>
          <w:sz w:val="18"/>
          <w:szCs w:val="18"/>
        </w:rPr>
        <w:t>1.</w:t>
      </w:r>
      <w:r w:rsidRPr="00A27C6F">
        <w:rPr>
          <w:rFonts w:ascii="Verdana" w:hAnsi="Verdana"/>
          <w:sz w:val="18"/>
          <w:szCs w:val="18"/>
        </w:rPr>
        <w:tab/>
      </w:r>
      <w:r w:rsidR="00A27C6F" w:rsidRPr="00A27C6F">
        <w:rPr>
          <w:rFonts w:ascii="Verdana" w:hAnsi="Verdana"/>
          <w:sz w:val="18"/>
          <w:szCs w:val="18"/>
        </w:rPr>
        <w:t>Gli organi elettivi delle regioni durano in carica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per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cinque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anni,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fatta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salva,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nei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casi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previsti,</w:t>
      </w:r>
      <w:r w:rsidR="00A27C6F">
        <w:rPr>
          <w:rFonts w:ascii="Verdana" w:hAnsi="Verdana"/>
          <w:sz w:val="18"/>
          <w:szCs w:val="18"/>
        </w:rPr>
        <w:t xml:space="preserve"> l'eventualità </w:t>
      </w:r>
      <w:r w:rsidR="00A27C6F" w:rsidRPr="00A27C6F">
        <w:rPr>
          <w:rFonts w:ascii="Verdana" w:hAnsi="Verdana"/>
          <w:sz w:val="18"/>
          <w:szCs w:val="18"/>
        </w:rPr>
        <w:t>dello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scioglimento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anticipato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del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Consiglio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regionale.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Il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quinquennio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decorre per ciascun Consiglio dalla data della elezione e le elezioni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dei nuovi Consigli hanno luogo non oltre i sessanta giorni successivi</w:t>
      </w:r>
      <w:r w:rsidR="00A27C6F">
        <w:rPr>
          <w:rFonts w:ascii="Verdana" w:hAnsi="Verdana"/>
          <w:sz w:val="18"/>
          <w:szCs w:val="18"/>
        </w:rPr>
        <w:t xml:space="preserve"> al termine del quinquennio </w:t>
      </w:r>
      <w:r w:rsidR="00A27C6F" w:rsidRPr="00A27C6F">
        <w:rPr>
          <w:rFonts w:ascii="Verdana" w:hAnsi="Verdana"/>
          <w:sz w:val="18"/>
          <w:szCs w:val="18"/>
        </w:rPr>
        <w:t>o nella domenica compresa nei sei giorni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 xml:space="preserve">ulteriori. </w:t>
      </w:r>
    </w:p>
    <w:p w:rsidR="00484B71" w:rsidRPr="00A27C6F" w:rsidRDefault="00484B71" w:rsidP="00484B71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A27C6F">
        <w:rPr>
          <w:rFonts w:ascii="Verdana" w:hAnsi="Verdana"/>
          <w:sz w:val="18"/>
          <w:szCs w:val="18"/>
        </w:rPr>
        <w:t>La presente legge, munita del sigillo dello Stato, sarà inserita nella Raccolta ufficiale degli atti normativi della Repubblica italiana. È fatto obbligo a chiunque spetti di osservarla e di farla osservare come legge dello Stato.</w:t>
      </w:r>
    </w:p>
    <w:p w:rsidR="00484B71" w:rsidRPr="00A27C6F" w:rsidRDefault="00484B71" w:rsidP="00484B71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A27C6F">
        <w:rPr>
          <w:rFonts w:ascii="Verdana" w:hAnsi="Verdana"/>
          <w:sz w:val="18"/>
          <w:szCs w:val="18"/>
        </w:rPr>
        <w:tab/>
        <w:t>Data a Roma, addì 2 luglio 2004</w:t>
      </w:r>
    </w:p>
    <w:p w:rsidR="00484B71" w:rsidRPr="00A27C6F" w:rsidRDefault="00484B71" w:rsidP="00A27C6F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A27C6F">
        <w:rPr>
          <w:rFonts w:ascii="Verdana" w:hAnsi="Verdana"/>
          <w:sz w:val="18"/>
          <w:szCs w:val="18"/>
        </w:rPr>
        <w:t>CIAMPI</w:t>
      </w:r>
    </w:p>
    <w:p w:rsidR="00484B71" w:rsidRPr="00A27C6F" w:rsidRDefault="00484B71" w:rsidP="00A27C6F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A27C6F">
        <w:rPr>
          <w:rFonts w:ascii="Verdana" w:hAnsi="Verdana"/>
          <w:sz w:val="18"/>
          <w:szCs w:val="18"/>
        </w:rPr>
        <w:t>Berlusconi, Presidente del Consiglio dei Ministri</w:t>
      </w:r>
    </w:p>
    <w:p w:rsidR="00484B71" w:rsidRPr="00A27C6F" w:rsidRDefault="00484B71" w:rsidP="00A27C6F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A27C6F">
        <w:rPr>
          <w:rFonts w:ascii="Verdana" w:hAnsi="Verdana"/>
          <w:sz w:val="18"/>
          <w:szCs w:val="18"/>
        </w:rPr>
        <w:t>Bossi, Ministro per le riforme istituzionali e la devoluzione</w:t>
      </w:r>
    </w:p>
    <w:p w:rsidR="00484B71" w:rsidRPr="00A27C6F" w:rsidRDefault="00484B71" w:rsidP="00484B71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A27C6F">
        <w:rPr>
          <w:rFonts w:ascii="Verdana" w:hAnsi="Verdana"/>
          <w:sz w:val="18"/>
          <w:szCs w:val="18"/>
        </w:rPr>
        <w:t>La Loggia, Ministro per gli affari regionali</w:t>
      </w:r>
    </w:p>
    <w:p w:rsidR="00484B71" w:rsidRPr="00A27C6F" w:rsidRDefault="00484B71" w:rsidP="00484B71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A27C6F">
        <w:rPr>
          <w:rFonts w:ascii="Verdana" w:hAnsi="Verdana"/>
          <w:sz w:val="18"/>
          <w:szCs w:val="18"/>
        </w:rPr>
        <w:t>Visto, il Guardasigilli: Castelli</w:t>
      </w:r>
    </w:p>
    <w:p w:rsidR="00473809" w:rsidRPr="00A27C6F" w:rsidRDefault="00473809" w:rsidP="00484B71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473809" w:rsidRPr="00A27C6F" w:rsidSect="002062EE">
      <w:headerReference w:type="default" r:id="rId8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C19" w:rsidRDefault="002D4C19" w:rsidP="00DC799E">
      <w:pPr>
        <w:spacing w:after="0" w:line="240" w:lineRule="auto"/>
      </w:pPr>
      <w:r>
        <w:separator/>
      </w:r>
    </w:p>
  </w:endnote>
  <w:endnote w:type="continuationSeparator" w:id="0">
    <w:p w:rsidR="002D4C19" w:rsidRDefault="002D4C19" w:rsidP="00DC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C19" w:rsidRDefault="002D4C19" w:rsidP="00DC799E">
      <w:pPr>
        <w:spacing w:after="0" w:line="240" w:lineRule="auto"/>
      </w:pPr>
      <w:r>
        <w:separator/>
      </w:r>
    </w:p>
  </w:footnote>
  <w:footnote w:type="continuationSeparator" w:id="0">
    <w:p w:rsidR="002D4C19" w:rsidRDefault="002D4C19" w:rsidP="00DC7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A27C6F" w:rsidTr="00EC3E33">
      <w:tc>
        <w:tcPr>
          <w:tcW w:w="3505" w:type="dxa"/>
          <w:shd w:val="clear" w:color="auto" w:fill="auto"/>
          <w:vAlign w:val="center"/>
        </w:tcPr>
        <w:p w:rsidR="00A27C6F" w:rsidRPr="00A47199" w:rsidRDefault="00A27C6F" w:rsidP="00EC3E33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580F03C0" wp14:editId="530FD336">
                <wp:extent cx="2042160" cy="4038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shd w:val="clear" w:color="auto" w:fill="auto"/>
          <w:vAlign w:val="center"/>
        </w:tcPr>
        <w:p w:rsidR="00A27C6F" w:rsidRPr="00A47199" w:rsidRDefault="00A27C6F" w:rsidP="00EC3E33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21269F21" wp14:editId="61B366AA">
                <wp:extent cx="739140" cy="624840"/>
                <wp:effectExtent l="0" t="0" r="3810" b="381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27C6F" w:rsidRDefault="00A27C6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EE"/>
    <w:rsid w:val="00035313"/>
    <w:rsid w:val="0011207D"/>
    <w:rsid w:val="00117D04"/>
    <w:rsid w:val="00175F01"/>
    <w:rsid w:val="002062EE"/>
    <w:rsid w:val="00231349"/>
    <w:rsid w:val="0024384F"/>
    <w:rsid w:val="002550B0"/>
    <w:rsid w:val="002830F8"/>
    <w:rsid w:val="00285B71"/>
    <w:rsid w:val="002B53FF"/>
    <w:rsid w:val="002D4C19"/>
    <w:rsid w:val="003574E9"/>
    <w:rsid w:val="0036203E"/>
    <w:rsid w:val="00373228"/>
    <w:rsid w:val="003D63D8"/>
    <w:rsid w:val="00473809"/>
    <w:rsid w:val="00484B71"/>
    <w:rsid w:val="00497A99"/>
    <w:rsid w:val="004B3B1D"/>
    <w:rsid w:val="005A17C3"/>
    <w:rsid w:val="005D41EA"/>
    <w:rsid w:val="0086231D"/>
    <w:rsid w:val="008D3CD7"/>
    <w:rsid w:val="0092367B"/>
    <w:rsid w:val="00A27C6F"/>
    <w:rsid w:val="00A44A1B"/>
    <w:rsid w:val="00AF5F6E"/>
    <w:rsid w:val="00B43417"/>
    <w:rsid w:val="00C85823"/>
    <w:rsid w:val="00C95244"/>
    <w:rsid w:val="00CD5F26"/>
    <w:rsid w:val="00CD704E"/>
    <w:rsid w:val="00DC799E"/>
    <w:rsid w:val="00E751CF"/>
    <w:rsid w:val="00E93F04"/>
    <w:rsid w:val="00EF1239"/>
    <w:rsid w:val="00F8553E"/>
    <w:rsid w:val="00FA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62E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799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799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799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27C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7C6F"/>
  </w:style>
  <w:style w:type="paragraph" w:styleId="Pidipagina">
    <w:name w:val="footer"/>
    <w:basedOn w:val="Normale"/>
    <w:link w:val="PidipaginaCarattere"/>
    <w:uiPriority w:val="99"/>
    <w:unhideWhenUsed/>
    <w:rsid w:val="00A27C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7C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7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62E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799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799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799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27C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7C6F"/>
  </w:style>
  <w:style w:type="paragraph" w:styleId="Pidipagina">
    <w:name w:val="footer"/>
    <w:basedOn w:val="Normale"/>
    <w:link w:val="PidipaginaCarattere"/>
    <w:uiPriority w:val="99"/>
    <w:unhideWhenUsed/>
    <w:rsid w:val="00A27C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7C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7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E86BD-2B8A-42A9-BD9B-14E344BDD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3</cp:revision>
  <dcterms:created xsi:type="dcterms:W3CDTF">2018-01-10T11:01:00Z</dcterms:created>
  <dcterms:modified xsi:type="dcterms:W3CDTF">2018-01-10T22:22:00Z</dcterms:modified>
</cp:coreProperties>
</file>