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16" w:rsidRPr="00AC7816" w:rsidRDefault="00AC7816" w:rsidP="00AC7816">
      <w:pPr>
        <w:tabs>
          <w:tab w:val="left" w:pos="426"/>
        </w:tabs>
        <w:jc w:val="both"/>
        <w:rPr>
          <w:rFonts w:ascii="Verdana" w:hAnsi="Verdana" w:cs="Arial"/>
          <w:b/>
          <w:color w:val="4E3F85"/>
          <w:sz w:val="20"/>
          <w:szCs w:val="20"/>
        </w:rPr>
      </w:pPr>
      <w:r w:rsidRPr="00AC7816">
        <w:rPr>
          <w:rFonts w:ascii="Verdana" w:hAnsi="Verdana" w:cs="Arial"/>
          <w:b/>
          <w:color w:val="4E3F85"/>
          <w:sz w:val="20"/>
          <w:szCs w:val="20"/>
        </w:rPr>
        <w:t xml:space="preserve">LEGGE 3 novembre 2017, n. 165 </w:t>
      </w:r>
    </w:p>
    <w:p w:rsidR="00AC7816" w:rsidRPr="00AC7816" w:rsidRDefault="00AC7816" w:rsidP="00AC7816">
      <w:pPr>
        <w:tabs>
          <w:tab w:val="left" w:pos="426"/>
        </w:tabs>
        <w:jc w:val="both"/>
        <w:rPr>
          <w:rFonts w:ascii="Verdana" w:hAnsi="Verdana" w:cs="Arial"/>
          <w:sz w:val="20"/>
          <w:szCs w:val="20"/>
        </w:rPr>
      </w:pPr>
      <w:r w:rsidRPr="00AC7816">
        <w:rPr>
          <w:rFonts w:ascii="Verdana" w:hAnsi="Verdana" w:cs="Arial"/>
          <w:sz w:val="20"/>
          <w:szCs w:val="20"/>
        </w:rPr>
        <w:t xml:space="preserve">Modifiche al sistema di elezione della Camera dei deputati e del Senato della Repubblica. Delega al Governo per la determinazione dei collegi elettorali uninominali e plurinominali. (17G00175) </w:t>
      </w:r>
    </w:p>
    <w:p w:rsidR="00AC7816" w:rsidRPr="00AC7816" w:rsidRDefault="00AC7816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AC7816" w:rsidRPr="00AC7816" w:rsidRDefault="00AC7816" w:rsidP="00AC7816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Camera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deputati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ed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hanno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approvato;</w:t>
      </w:r>
    </w:p>
    <w:p w:rsidR="00AC7816" w:rsidRPr="00AC7816" w:rsidRDefault="00AC7816" w:rsidP="00AC7816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IL PRESIDENTE DELLA REPUBBLICA</w:t>
      </w:r>
    </w:p>
    <w:p w:rsidR="00AC7816" w:rsidRPr="00AC7816" w:rsidRDefault="00AC7816" w:rsidP="00AC7816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PROMULGA</w:t>
      </w:r>
    </w:p>
    <w:p w:rsidR="00AC7816" w:rsidRPr="00AC7816" w:rsidRDefault="00AC7816" w:rsidP="00AC7816">
      <w:pPr>
        <w:tabs>
          <w:tab w:val="left" w:pos="426"/>
        </w:tabs>
        <w:jc w:val="center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la seguente legge:</w:t>
      </w:r>
    </w:p>
    <w:p w:rsidR="00AC7816" w:rsidRPr="00AC7816" w:rsidRDefault="00AC7816" w:rsidP="00AC7816">
      <w:pPr>
        <w:tabs>
          <w:tab w:val="left" w:pos="426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:rsidR="00AC7816" w:rsidRPr="00AC7816" w:rsidRDefault="00AC7816" w:rsidP="00AC7816">
      <w:pPr>
        <w:tabs>
          <w:tab w:val="left" w:pos="426"/>
        </w:tabs>
        <w:spacing w:after="0"/>
        <w:jc w:val="both"/>
        <w:rPr>
          <w:rFonts w:ascii="Verdana" w:hAnsi="Verdana" w:cs="Arial"/>
          <w:b/>
          <w:color w:val="1F497D" w:themeColor="text2"/>
          <w:sz w:val="18"/>
          <w:szCs w:val="18"/>
        </w:rPr>
      </w:pPr>
      <w:r w:rsidRPr="00AC7816">
        <w:rPr>
          <w:rFonts w:ascii="Verdana" w:hAnsi="Verdana" w:cs="Arial"/>
          <w:b/>
          <w:color w:val="1F497D" w:themeColor="text2"/>
          <w:sz w:val="18"/>
          <w:szCs w:val="18"/>
        </w:rPr>
        <w:t xml:space="preserve">Art. 1 Modifiche al sistema di elezione della Camera dei deputati </w:t>
      </w:r>
    </w:p>
    <w:p w:rsidR="00AC7816" w:rsidRPr="00AC7816" w:rsidRDefault="00AC7816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Omissis</w:t>
      </w:r>
      <w:r w:rsidRPr="00AC7816">
        <w:rPr>
          <w:rFonts w:ascii="Verdana" w:hAnsi="Verdana"/>
          <w:sz w:val="18"/>
          <w:szCs w:val="18"/>
        </w:rPr>
        <w:t xml:space="preserve"> </w:t>
      </w:r>
    </w:p>
    <w:p w:rsidR="00AC7816" w:rsidRPr="00AC7816" w:rsidRDefault="00AC7816" w:rsidP="00AC7816">
      <w:pPr>
        <w:tabs>
          <w:tab w:val="left" w:pos="426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:rsidR="00AC7816" w:rsidRPr="00AC7816" w:rsidRDefault="00AC7816" w:rsidP="00AC7816">
      <w:pPr>
        <w:tabs>
          <w:tab w:val="left" w:pos="426"/>
        </w:tabs>
        <w:spacing w:after="0"/>
        <w:jc w:val="both"/>
        <w:rPr>
          <w:rFonts w:ascii="Verdana" w:hAnsi="Verdana" w:cs="Arial"/>
          <w:b/>
          <w:color w:val="1F497D" w:themeColor="text2"/>
          <w:sz w:val="18"/>
          <w:szCs w:val="18"/>
        </w:rPr>
      </w:pPr>
      <w:r w:rsidRPr="00AC7816">
        <w:rPr>
          <w:rFonts w:ascii="Verdana" w:hAnsi="Verdana" w:cs="Arial"/>
          <w:b/>
          <w:color w:val="1F497D" w:themeColor="text2"/>
          <w:sz w:val="18"/>
          <w:szCs w:val="18"/>
        </w:rPr>
        <w:t xml:space="preserve">Art. 2 Modifiche al sistema di elezione del Senato della Repubblica </w:t>
      </w:r>
    </w:p>
    <w:p w:rsidR="00AC7816" w:rsidRPr="00AC7816" w:rsidRDefault="00AC7816" w:rsidP="00AC7816">
      <w:pPr>
        <w:tabs>
          <w:tab w:val="left" w:pos="426"/>
        </w:tabs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Omissis</w:t>
      </w:r>
    </w:p>
    <w:p w:rsidR="00AC7816" w:rsidRPr="00AC7816" w:rsidRDefault="00AC7816" w:rsidP="00AC7816">
      <w:pPr>
        <w:tabs>
          <w:tab w:val="left" w:pos="426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:rsidR="00AC7816" w:rsidRPr="00AC7816" w:rsidRDefault="00AC7816" w:rsidP="00AC7816">
      <w:pPr>
        <w:tabs>
          <w:tab w:val="left" w:pos="426"/>
        </w:tabs>
        <w:spacing w:after="0"/>
        <w:jc w:val="both"/>
        <w:rPr>
          <w:rFonts w:ascii="Verdana" w:hAnsi="Verdana" w:cs="Arial"/>
          <w:b/>
          <w:color w:val="1F497D" w:themeColor="text2"/>
          <w:sz w:val="18"/>
          <w:szCs w:val="18"/>
        </w:rPr>
      </w:pPr>
      <w:r w:rsidRPr="00AC7816">
        <w:rPr>
          <w:rFonts w:ascii="Verdana" w:hAnsi="Verdana" w:cs="Arial"/>
          <w:b/>
          <w:color w:val="1F497D" w:themeColor="text2"/>
          <w:sz w:val="18"/>
          <w:szCs w:val="18"/>
        </w:rPr>
        <w:t xml:space="preserve">Art. 3 Delega al Governo per la determinazione dei collegi uninominali e dei collegi plurinominali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 xml:space="preserve">Per l'elezione della Camera dei deputati, il Governo </w:t>
      </w:r>
      <w:r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delegato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ad adottare, entro trenta giorni dalla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entrata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vigore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 presente legge, ai sensi dell'articolo 14 della legge 23 agosto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1988, n. 400,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determinazione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nell'ambito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ciascuna circoscrizione di cui alla tabella A allegata al decreto 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 della Repubblica n. 361 del 1957,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sostituita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presente legge, sulla base dei seguenti principi e criteri direttivi: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 xml:space="preserve"> fatto salvo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quanto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stabilito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d'Aosta/Vallee d'Aoste, nelle restanti circoscrizioni 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nazionale per l'elezione della Camera 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deputati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costituiti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231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Trentino-Alto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Adige/Südtirol e Molise sono costituiti, rispettivamente, sei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due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territorialmente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definiti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 20 dicembre 1993,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535,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recante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determinazione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Repubblica;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tra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altre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circoscrizioni 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nazionale,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tabella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allegata al decreto del Presidente della Repubblica n. 361 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1957,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 sostituita dalla presente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ripartiti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proporzionale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rispettiva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popolazione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determinata sulla base dei risultati dell'ultimo censimento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generale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 popolazione, come riportati dalla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pi</w:t>
      </w:r>
      <w:r>
        <w:rPr>
          <w:rFonts w:ascii="Verdana" w:hAnsi="Verdana"/>
          <w:sz w:val="18"/>
          <w:szCs w:val="18"/>
        </w:rPr>
        <w:t xml:space="preserve">ù </w:t>
      </w:r>
      <w:r w:rsidRPr="00AC7816">
        <w:rPr>
          <w:rFonts w:ascii="Verdana" w:hAnsi="Verdana"/>
          <w:sz w:val="18"/>
          <w:szCs w:val="18"/>
        </w:rPr>
        <w:t>recente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pubblicazione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ufficiale dell'Istituto nazionale di statistica;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esclusione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d'Aosta/Vallee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d'Aoste,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altre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nazionale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costituiti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formati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dall'aggregazione di 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contigui;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 plurinominali costituiti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 di ciascuno 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determinati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modo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base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popolazione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residente calcolata ai sensi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lettera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assegnato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 di seggi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determinato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somma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 che lo costituiscono e di un ulteriore 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seggi,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 norma, non inferiore a tre e non superiore a otto,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modo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che tendenzialmente risulti minimo il numero di collegi 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nei quali </w:t>
      </w:r>
      <w:r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assegnato un numero di seggi inferiore al valore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medio;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Molise</w:t>
      </w:r>
      <w:r>
        <w:rPr>
          <w:rFonts w:ascii="Verdana" w:hAnsi="Verdana"/>
          <w:sz w:val="18"/>
          <w:szCs w:val="18"/>
        </w:rPr>
        <w:t xml:space="preserve"> è </w:t>
      </w:r>
      <w:r w:rsidRPr="00AC7816">
        <w:rPr>
          <w:rFonts w:ascii="Verdana" w:hAnsi="Verdana"/>
          <w:sz w:val="18"/>
          <w:szCs w:val="18"/>
        </w:rPr>
        <w:t>asseg</w:t>
      </w:r>
      <w:bookmarkStart w:id="0" w:name="_GoBack"/>
      <w:bookmarkEnd w:id="0"/>
      <w:r w:rsidRPr="00AC7816">
        <w:rPr>
          <w:rFonts w:ascii="Verdana" w:hAnsi="Verdana"/>
          <w:sz w:val="18"/>
          <w:szCs w:val="18"/>
        </w:rPr>
        <w:t>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attribuire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metodo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proporzionale ai sensi degli articoli 83 </w:t>
      </w:r>
      <w:r w:rsidRPr="00AC7816">
        <w:rPr>
          <w:rFonts w:ascii="Verdana" w:hAnsi="Verdana"/>
          <w:sz w:val="18"/>
          <w:szCs w:val="18"/>
        </w:rPr>
        <w:lastRenderedPageBreak/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83-bis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361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1957.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circoscrizione</w:t>
      </w:r>
      <w:r>
        <w:rPr>
          <w:rFonts w:ascii="Verdana" w:hAnsi="Verdana"/>
          <w:sz w:val="18"/>
          <w:szCs w:val="18"/>
        </w:rPr>
        <w:t xml:space="preserve"> è </w:t>
      </w:r>
      <w:r w:rsidRPr="00AC7816">
        <w:rPr>
          <w:rFonts w:ascii="Verdana" w:hAnsi="Verdana"/>
          <w:sz w:val="18"/>
          <w:szCs w:val="18"/>
        </w:rPr>
        <w:t>compreso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plurinominale.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Trentino-Alto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Adige/Südtirol,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Umbria,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Molise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Basilicata</w:t>
      </w:r>
      <w:r>
        <w:rPr>
          <w:rFonts w:ascii="Verdana" w:hAnsi="Verdana"/>
          <w:sz w:val="18"/>
          <w:szCs w:val="18"/>
        </w:rPr>
        <w:t xml:space="preserve"> è </w:t>
      </w:r>
      <w:r w:rsidRPr="00AC7816">
        <w:rPr>
          <w:rFonts w:ascii="Verdana" w:hAnsi="Verdana"/>
          <w:sz w:val="18"/>
          <w:szCs w:val="18"/>
        </w:rPr>
        <w:t>costituito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unico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comprensivo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tutti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circoscrizione;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c)</w:t>
      </w:r>
      <w:r w:rsidRPr="00AC7816">
        <w:rPr>
          <w:rFonts w:ascii="Verdana" w:hAnsi="Verdana"/>
          <w:sz w:val="18"/>
          <w:szCs w:val="18"/>
        </w:rPr>
        <w:t xml:space="preserve"> la popolazione di ciascun collegio uninominale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</w:t>
      </w:r>
      <w:r>
        <w:rPr>
          <w:rFonts w:ascii="Verdana" w:hAnsi="Verdana"/>
          <w:sz w:val="18"/>
          <w:szCs w:val="18"/>
        </w:rPr>
        <w:t xml:space="preserve"> collegio plurinominale può</w:t>
      </w:r>
      <w:r w:rsidRPr="00AC7816">
        <w:rPr>
          <w:rFonts w:ascii="Verdana" w:hAnsi="Verdana"/>
          <w:sz w:val="18"/>
          <w:szCs w:val="18"/>
        </w:rPr>
        <w:t xml:space="preserve"> scostarsi dalla media 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popolazione,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rispettivamente, dei collegi uninominali e dei 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 circoscrizione di non oltre il 20 per cento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eccesso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difetto;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d)</w:t>
      </w:r>
      <w:r w:rsidRPr="00AC7816">
        <w:rPr>
          <w:rFonts w:ascii="Verdana" w:hAnsi="Verdana"/>
          <w:sz w:val="18"/>
          <w:szCs w:val="18"/>
        </w:rPr>
        <w:t xml:space="preserve"> nella formazione dei collegi 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formazione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 collegi 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garantite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coerenza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bacino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territoriale di ciascun collegio, ten</w:t>
      </w:r>
      <w:r>
        <w:rPr>
          <w:rFonts w:ascii="Verdana" w:hAnsi="Verdana"/>
          <w:sz w:val="18"/>
          <w:szCs w:val="18"/>
        </w:rPr>
        <w:t xml:space="preserve">endo altresì conto delle unità </w:t>
      </w:r>
      <w:r w:rsidRPr="00AC7816">
        <w:rPr>
          <w:rFonts w:ascii="Verdana" w:hAnsi="Verdana"/>
          <w:sz w:val="18"/>
          <w:szCs w:val="18"/>
        </w:rPr>
        <w:t>amministrative su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insistono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ove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necessario,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sistemi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locali,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norma,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sua</w:t>
      </w:r>
      <w:r>
        <w:rPr>
          <w:rFonts w:ascii="Verdana" w:hAnsi="Verdana"/>
          <w:sz w:val="18"/>
          <w:szCs w:val="18"/>
        </w:rPr>
        <w:t xml:space="preserve"> omogeneità </w:t>
      </w:r>
      <w:r w:rsidRPr="00AC7816">
        <w:rPr>
          <w:rFonts w:ascii="Verdana" w:hAnsi="Verdana"/>
          <w:sz w:val="18"/>
          <w:szCs w:val="18"/>
        </w:rPr>
        <w:t>sotto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aspetti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economico-sociale e delle caratteristiche storico-culturali,</w:t>
      </w:r>
      <w:r>
        <w:rPr>
          <w:rFonts w:ascii="Verdana" w:hAnsi="Verdana"/>
          <w:sz w:val="18"/>
          <w:szCs w:val="18"/>
        </w:rPr>
        <w:t xml:space="preserve"> nonché la continuità</w:t>
      </w:r>
      <w:r w:rsidRPr="00AC7816">
        <w:rPr>
          <w:rFonts w:ascii="Verdana" w:hAnsi="Verdana"/>
          <w:sz w:val="18"/>
          <w:szCs w:val="18"/>
        </w:rPr>
        <w:t xml:space="preserve"> del territorio di ciascun collegio, salvo 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cui il 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stesso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comprenda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porzioni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insulari.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 e i collegi plurinominali, di norma, non possono dividere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 territorio comunale, salvo il caso dei comuni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che,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loro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dimensioni demografiche, comprendano al loro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interno</w:t>
      </w:r>
      <w:r>
        <w:rPr>
          <w:rFonts w:ascii="Verdana" w:hAnsi="Verdana"/>
          <w:sz w:val="18"/>
          <w:szCs w:val="18"/>
        </w:rPr>
        <w:t xml:space="preserve"> più </w:t>
      </w:r>
      <w:r w:rsidRPr="00AC7816">
        <w:rPr>
          <w:rFonts w:ascii="Verdana" w:hAnsi="Verdana"/>
          <w:sz w:val="18"/>
          <w:szCs w:val="18"/>
        </w:rPr>
        <w:t>collegi.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Nelle zone in cui siano presenti minoranze linguistiche riconosciute,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 delimitazione dei collegi, anche in deroga ai principi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criteri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direttivi di cui al presente comma, deve tenere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dell'esigenza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 agevolare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loro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inclusione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minor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possibile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collegi. Fermi restando i principi e criteri direttivi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previsti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 determinazione 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nelle quali il 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è </w:t>
      </w:r>
      <w:r w:rsidRPr="00AC7816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quello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previsto dal citato decreto legislativo n. 535 del 1993 la formazione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dei collegi uninominali </w:t>
      </w:r>
      <w:r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effettuata adottando come riferimento, ove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possibile, le delimitazioni dei collegi previste dal medesimo 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legislativo n. 535 del 1993;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e)</w:t>
      </w:r>
      <w:r w:rsidRPr="00AC7816">
        <w:rPr>
          <w:rFonts w:ascii="Verdana" w:hAnsi="Verdana"/>
          <w:sz w:val="18"/>
          <w:szCs w:val="18"/>
        </w:rPr>
        <w:t xml:space="preserve"> nella circoscrizione Friuli Venezia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Giulia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è </w:t>
      </w:r>
      <w:r w:rsidRPr="00AC7816">
        <w:rPr>
          <w:rFonts w:ascii="Verdana" w:hAnsi="Verdana"/>
          <w:sz w:val="18"/>
          <w:szCs w:val="18"/>
        </w:rPr>
        <w:t>costituito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modo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favorire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l'accesso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rappresentanza dei candidati che siano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espressione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minoranza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linguistica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slovena,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23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febbraio 2001, n. 38.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 xml:space="preserve">Il Governo </w:t>
      </w:r>
      <w:r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delegato a determinare, con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medesimo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 di cui al comma 1, 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 ai fini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dell'elezione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nell'ambito di ciascuna regione, sulla base dei seguenti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principi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criteri direttivi: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 xml:space="preserve"> fatto salvo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quanto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stabilito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d'Aosta/Vallee d'Aoste e Trentino-Alto Adige/Südtirol, nelle restanti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regioni del territorio nazionale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l'elezione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 sono costituiti 109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</w:t>
      </w:r>
      <w:r>
        <w:rPr>
          <w:rFonts w:ascii="Verdana" w:hAnsi="Verdana"/>
          <w:sz w:val="18"/>
          <w:szCs w:val="18"/>
        </w:rPr>
        <w:t xml:space="preserve"> della regione Molise è</w:t>
      </w:r>
      <w:r w:rsidRPr="00AC7816">
        <w:rPr>
          <w:rFonts w:ascii="Verdana" w:hAnsi="Verdana"/>
          <w:sz w:val="18"/>
          <w:szCs w:val="18"/>
        </w:rPr>
        <w:t xml:space="preserve"> costituito in un unico 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uninominale.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Nelle altre regioni i collegi uninominali 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ripartiti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proporzionale alla rispettiva popolazione determinata sulla base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risultati dell'ultimo censimento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generale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popolazione,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sz w:val="18"/>
          <w:szCs w:val="18"/>
        </w:rPr>
        <w:t xml:space="preserve"> riportati dalla più</w:t>
      </w:r>
      <w:r w:rsidRPr="00AC7816">
        <w:rPr>
          <w:rFonts w:ascii="Verdana" w:hAnsi="Verdana"/>
          <w:sz w:val="18"/>
          <w:szCs w:val="18"/>
        </w:rPr>
        <w:t xml:space="preserve"> recente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pubblicazione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ufficiale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dell'Istituto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nazionale di statistica;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b)</w:t>
      </w:r>
      <w:r w:rsidRPr="00AC7816">
        <w:rPr>
          <w:rFonts w:ascii="Verdana" w:hAnsi="Verdana"/>
          <w:sz w:val="18"/>
          <w:szCs w:val="18"/>
        </w:rPr>
        <w:t xml:space="preserve"> con esclusione 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regioni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d'Aosta/Vallee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d'Aoste,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Trentino-Alto Adige/Südtirol e Molise,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restanti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regioni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costituiti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formati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dall'aggregazione di 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contigui;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 plurinominali costituiti in ciascuna regione e 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 ciascuno di essi sono determinati in modo che in ciascun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plurinominale, sulla base della popolazione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residente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calcolata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sensi della lettera </w:t>
      </w:r>
      <w:r w:rsidRPr="00AC7816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>, sia assegnato un numero di seggi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determinato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dalla somma del numero dei collegi uninominali che lo costituiscono 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 un ulteriore numero di seggi, di norma, non inferiore a due 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superiore a otto, in modo tale che tendenzialmente risulti minimo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numero dei collegi plurinominali nei quali </w:t>
      </w:r>
      <w:r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assegnato un 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seggi inferiore al valore medio. Ciascun collegio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regione </w:t>
      </w:r>
      <w:r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compreso in un collegio plurinominale;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c)</w:t>
      </w:r>
      <w:r w:rsidRPr="00AC7816">
        <w:rPr>
          <w:rFonts w:ascii="Verdana" w:hAnsi="Verdana"/>
          <w:sz w:val="18"/>
          <w:szCs w:val="18"/>
        </w:rPr>
        <w:t xml:space="preserve"> la popolazione di ciascun collegio uninominale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</w:t>
      </w:r>
      <w:r>
        <w:rPr>
          <w:rFonts w:ascii="Verdana" w:hAnsi="Verdana"/>
          <w:sz w:val="18"/>
          <w:szCs w:val="18"/>
        </w:rPr>
        <w:t xml:space="preserve"> collegio plurinominale può</w:t>
      </w:r>
      <w:r w:rsidRPr="00AC7816">
        <w:rPr>
          <w:rFonts w:ascii="Verdana" w:hAnsi="Verdana"/>
          <w:sz w:val="18"/>
          <w:szCs w:val="18"/>
        </w:rPr>
        <w:t xml:space="preserve"> scostarsi dalla media 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popolazione,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rispettivamente, dei collegi uninominali e dei 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 circoscrizione di non oltre il 20 per cento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eccesso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difetto;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i/>
          <w:sz w:val="18"/>
          <w:szCs w:val="18"/>
        </w:rPr>
        <w:t>d)</w:t>
      </w:r>
      <w:r w:rsidRPr="00AC7816">
        <w:rPr>
          <w:rFonts w:ascii="Verdana" w:hAnsi="Verdana"/>
          <w:sz w:val="18"/>
          <w:szCs w:val="18"/>
        </w:rPr>
        <w:t xml:space="preserve"> nella formazione dei collegi 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formazione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 collegi plurinominali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garantite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coerenza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bacino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territoriale di ciascun collegio 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norma,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lastRenderedPageBreak/>
        <w:t xml:space="preserve">omogeneità </w:t>
      </w:r>
      <w:r w:rsidRPr="00AC7816">
        <w:rPr>
          <w:rFonts w:ascii="Verdana" w:hAnsi="Verdana"/>
          <w:sz w:val="18"/>
          <w:szCs w:val="18"/>
        </w:rPr>
        <w:t>sotto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aspetti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economico-sociale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caratteristiche</w:t>
      </w:r>
      <w:r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>storico-culturali, nonché la continuità</w:t>
      </w:r>
      <w:r w:rsidRPr="00AC7816">
        <w:rPr>
          <w:rFonts w:ascii="Verdana" w:hAnsi="Verdana"/>
          <w:sz w:val="18"/>
          <w:szCs w:val="18"/>
        </w:rPr>
        <w:t xml:space="preserve"> del 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collegio, salvo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territorio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stesso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comprenda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porzioni insulari. I collegi uninominali e 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plurinominali,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 norma, non possono dividere il territorio comunale, salvo 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caso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 comuni che, per le loro dimensioni demografiche,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comprendano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</w:t>
      </w:r>
      <w:r w:rsidR="00713CD2">
        <w:rPr>
          <w:rFonts w:ascii="Verdana" w:hAnsi="Verdana"/>
          <w:sz w:val="18"/>
          <w:szCs w:val="18"/>
        </w:rPr>
        <w:t xml:space="preserve"> loro interno più</w:t>
      </w:r>
      <w:r w:rsidRPr="00AC7816">
        <w:rPr>
          <w:rFonts w:ascii="Verdana" w:hAnsi="Verdana"/>
          <w:sz w:val="18"/>
          <w:szCs w:val="18"/>
        </w:rPr>
        <w:t xml:space="preserve"> collegi. Nelle zone in cui siano presenti minoranze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linguistiche riconosciute, la delimitazione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anche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deroga ai principi e criteri direttivi di cui al presente comma, deve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tenere conto dell'esigenza di agevolare la loro inclusione nel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minor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numero possibile di collegi;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regione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Friuli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Venezia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Giulia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>è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costituito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modo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favorire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l'accesso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rappresentanza dei candidati che siano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espressione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minoranza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linguistica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slovena,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26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23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febbraio 2001, n. 38.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3.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fini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predisposizione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schema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 di cui ai commi 1 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Governo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avvale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commissione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composta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dell'Istituto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nazionale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statistica, che la presiede, e da dieci esperti in materia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attinente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ai compiti che la commissione </w:t>
      </w:r>
      <w:r w:rsidR="00713CD2"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chiamata a svolgere, senza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nuovi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maggiori oneri per il bilancio dello Stato.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4.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Lo schema del decreto legislativo di 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 xml:space="preserve">è </w:t>
      </w:r>
      <w:r w:rsidRPr="00AC7816">
        <w:rPr>
          <w:rFonts w:ascii="Verdana" w:hAnsi="Verdana"/>
          <w:sz w:val="18"/>
          <w:szCs w:val="18"/>
        </w:rPr>
        <w:t>trasmesso alle Camere per l'espressione dei pareri 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Commissioni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parlamentari competenti per materia, che si pronunciano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termine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 quindici giorni dalla data 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trasmissione.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Qualora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 non sia conforme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parere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parlamentare,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Governo,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contemporaneamente alla pubblicazione del decreto, deve inviare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Camere una relazione contenente adeguata motivazione.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5.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In caso di mancata espressione del parere di cui al comma 4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termine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previsto,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pu</w:t>
      </w:r>
      <w:r w:rsidR="00713CD2">
        <w:rPr>
          <w:rFonts w:ascii="Verdana" w:hAnsi="Verdana"/>
          <w:sz w:val="18"/>
          <w:szCs w:val="18"/>
        </w:rPr>
        <w:t>ò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comunque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essere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emanato.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6.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Il Governo aggiorna con cadenza triennale la composizione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commissione nominata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commissione,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relazione alle risultanze del censimento generale 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popolazione,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formula indicazioni per la revisione dei collegi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uninominali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collegi plurinominali, secondo i criteri di cui al presente articolo,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 ne riferisce al Governo. Per la revisione dei collegi uninominali 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 collegi plurinominali il Governo presenta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disegno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alle Camere. </w:t>
      </w:r>
    </w:p>
    <w:p w:rsidR="00AC7816" w:rsidRDefault="00AC7816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7.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Entro sei mesi dalla data di entrata 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vigore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legge, con decreto del Ministro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dell'interno,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concerto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Ministro per la semplificazione e la pubblica amministrazione, con il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Ministro dell'economia e delle finanze 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Ministro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gli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affari regio</w:t>
      </w:r>
      <w:r w:rsidR="00713CD2">
        <w:rPr>
          <w:rFonts w:ascii="Verdana" w:hAnsi="Verdana"/>
          <w:sz w:val="18"/>
          <w:szCs w:val="18"/>
        </w:rPr>
        <w:t>nali, sono definite le modalità</w:t>
      </w:r>
      <w:r w:rsidRPr="00AC7816">
        <w:rPr>
          <w:rFonts w:ascii="Verdana" w:hAnsi="Verdana"/>
          <w:sz w:val="18"/>
          <w:szCs w:val="18"/>
        </w:rPr>
        <w:t xml:space="preserve"> 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consentire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via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sperim</w:t>
      </w:r>
      <w:r w:rsidR="00713CD2">
        <w:rPr>
          <w:rFonts w:ascii="Verdana" w:hAnsi="Verdana"/>
          <w:sz w:val="18"/>
          <w:szCs w:val="18"/>
        </w:rPr>
        <w:t>entale la raccolta con modalità</w:t>
      </w:r>
      <w:r w:rsidRPr="00AC7816">
        <w:rPr>
          <w:rFonts w:ascii="Verdana" w:hAnsi="Verdana"/>
          <w:sz w:val="18"/>
          <w:szCs w:val="18"/>
        </w:rPr>
        <w:t xml:space="preserve"> digitale 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sottoscrizioni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necessarie per la presentazione delle candidature 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liste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occasione di consultazioni elettorali,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anche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attraverso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l'utilizzo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 firma digitale e 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elettronica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qualificata.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Sullo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schema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>è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acquisito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parere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competenti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Commissioni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parlamentari,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esprimono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termine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quarantacinque giorni. </w:t>
      </w:r>
    </w:p>
    <w:p w:rsidR="00713CD2" w:rsidRPr="00713CD2" w:rsidRDefault="00713CD2" w:rsidP="00713CD2">
      <w:pPr>
        <w:tabs>
          <w:tab w:val="left" w:pos="426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:rsidR="00AC7816" w:rsidRPr="00713CD2" w:rsidRDefault="00AC7816" w:rsidP="00713CD2">
      <w:pPr>
        <w:tabs>
          <w:tab w:val="left" w:pos="426"/>
        </w:tabs>
        <w:spacing w:after="0"/>
        <w:jc w:val="both"/>
        <w:rPr>
          <w:rFonts w:ascii="Verdana" w:hAnsi="Verdana" w:cs="Arial"/>
          <w:b/>
          <w:color w:val="1F497D" w:themeColor="text2"/>
          <w:sz w:val="18"/>
          <w:szCs w:val="18"/>
        </w:rPr>
      </w:pPr>
      <w:r w:rsidRPr="00713CD2">
        <w:rPr>
          <w:rFonts w:ascii="Verdana" w:hAnsi="Verdana" w:cs="Arial"/>
          <w:b/>
          <w:color w:val="1F497D" w:themeColor="text2"/>
          <w:sz w:val="18"/>
          <w:szCs w:val="18"/>
        </w:rPr>
        <w:t xml:space="preserve">Art. 4 Elezioni trasparenti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1.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apposita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internet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Ministero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dell'interno, denominata «Elezioni trasparenti», entro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dieci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giorni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dalla scadenza del termine per il deposito 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contrassegni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cui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all'articolo 15,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primo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 n. 361 del 1957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legislativo 20 dicembre 1993, n. 533, per ciascun partito,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movimento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 gruppo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politico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organizzato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che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ha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liste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pubblicati in maniera facilmente accessibile: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 xml:space="preserve"> il contrassegno depositato, con l'indicazione del soggetto che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ha conferito il mandato per il deposito 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sensi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15,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primo comma, del decreto del Presidente della Repubblica n.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361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1957;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lastRenderedPageBreak/>
        <w:t>b)</w:t>
      </w:r>
      <w:r w:rsidRPr="00AC7816">
        <w:rPr>
          <w:rFonts w:ascii="Verdana" w:hAnsi="Verdana"/>
          <w:sz w:val="18"/>
          <w:szCs w:val="18"/>
        </w:rPr>
        <w:t xml:space="preserve"> lo statuto ovvero la dichiarazione di trasparenza,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depositati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 sensi dell'articolo 14, primo comma, 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 Repubblica n. 361 del 1957,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modificato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della presente legge;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c)</w:t>
      </w:r>
      <w:r w:rsidRPr="00AC7816">
        <w:rPr>
          <w:rFonts w:ascii="Verdana" w:hAnsi="Verdana"/>
          <w:sz w:val="18"/>
          <w:szCs w:val="18"/>
        </w:rPr>
        <w:t xml:space="preserve"> il programma elettorale con il nome 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cognome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persona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indicata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capo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forza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politica,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depositato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sensi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dell'articolo 14-bis, comma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3,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 n. 361 del 1957, come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sostituito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presente legge. </w:t>
      </w:r>
    </w:p>
    <w:p w:rsidR="00AC7816" w:rsidRDefault="00AC7816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2.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Nella medesima sezione di cui al comma 1 sono pubblicate,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entro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dieci giorni dalla scadenza del termine di presentazione 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liste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 candidati, 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ciascun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partito,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movimento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gruppo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politico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organizzato, le liste di candidati presentate pe</w:t>
      </w:r>
      <w:r w:rsidR="00713CD2">
        <w:rPr>
          <w:rFonts w:ascii="Verdana" w:hAnsi="Verdana"/>
          <w:sz w:val="18"/>
          <w:szCs w:val="18"/>
        </w:rPr>
        <w:t>r ciascun collegio.</w:t>
      </w:r>
    </w:p>
    <w:p w:rsidR="00713CD2" w:rsidRPr="00713CD2" w:rsidRDefault="00713CD2" w:rsidP="00713CD2">
      <w:pPr>
        <w:tabs>
          <w:tab w:val="left" w:pos="426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:rsidR="00AC7816" w:rsidRPr="00713CD2" w:rsidRDefault="00713CD2" w:rsidP="00713CD2">
      <w:pPr>
        <w:tabs>
          <w:tab w:val="left" w:pos="426"/>
        </w:tabs>
        <w:spacing w:after="0"/>
        <w:jc w:val="both"/>
        <w:rPr>
          <w:rFonts w:ascii="Verdana" w:hAnsi="Verdana" w:cs="Arial"/>
          <w:b/>
          <w:color w:val="1F497D" w:themeColor="text2"/>
          <w:sz w:val="18"/>
          <w:szCs w:val="18"/>
        </w:rPr>
      </w:pPr>
      <w:r w:rsidRPr="00713CD2">
        <w:rPr>
          <w:rFonts w:ascii="Verdana" w:hAnsi="Verdana" w:cs="Arial"/>
          <w:b/>
          <w:color w:val="1F497D" w:themeColor="text2"/>
          <w:sz w:val="18"/>
          <w:szCs w:val="18"/>
        </w:rPr>
        <w:t>A</w:t>
      </w:r>
      <w:r w:rsidR="00AC7816" w:rsidRPr="00713CD2">
        <w:rPr>
          <w:rFonts w:ascii="Verdana" w:hAnsi="Verdana" w:cs="Arial"/>
          <w:b/>
          <w:color w:val="1F497D" w:themeColor="text2"/>
          <w:sz w:val="18"/>
          <w:szCs w:val="18"/>
        </w:rPr>
        <w:t xml:space="preserve">rt. 5 Clausola di invarianza finanziaria </w:t>
      </w:r>
    </w:p>
    <w:p w:rsidR="00AC7816" w:rsidRPr="00AC7816" w:rsidRDefault="00AC7816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1.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All'attuazione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disposizioni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provvede nell'ambito delle risorse umane, strumentali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finanziarie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disponibili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legislazione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vigente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comunque,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senza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nuovi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maggiori oneri per la finanza pubblica. </w:t>
      </w:r>
    </w:p>
    <w:p w:rsidR="00713CD2" w:rsidRPr="00713CD2" w:rsidRDefault="00713CD2" w:rsidP="00713CD2">
      <w:pPr>
        <w:tabs>
          <w:tab w:val="left" w:pos="426"/>
        </w:tabs>
        <w:spacing w:after="0"/>
        <w:jc w:val="both"/>
        <w:rPr>
          <w:rFonts w:ascii="Verdana" w:hAnsi="Verdana" w:cs="Arial"/>
          <w:sz w:val="18"/>
          <w:szCs w:val="18"/>
        </w:rPr>
      </w:pPr>
    </w:p>
    <w:p w:rsidR="00AC7816" w:rsidRPr="00713CD2" w:rsidRDefault="00AC7816" w:rsidP="00713CD2">
      <w:pPr>
        <w:tabs>
          <w:tab w:val="left" w:pos="426"/>
        </w:tabs>
        <w:spacing w:after="0"/>
        <w:jc w:val="both"/>
        <w:rPr>
          <w:rFonts w:ascii="Verdana" w:hAnsi="Verdana" w:cs="Arial"/>
          <w:b/>
          <w:color w:val="1F497D" w:themeColor="text2"/>
          <w:sz w:val="18"/>
          <w:szCs w:val="18"/>
        </w:rPr>
      </w:pPr>
      <w:r w:rsidRPr="00713CD2">
        <w:rPr>
          <w:rFonts w:ascii="Verdana" w:hAnsi="Verdana" w:cs="Arial"/>
          <w:b/>
          <w:color w:val="1F497D" w:themeColor="text2"/>
          <w:sz w:val="18"/>
          <w:szCs w:val="18"/>
        </w:rPr>
        <w:t xml:space="preserve">Art. 6 Disposizioni transitorie. Entrata in vigore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1.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All'articolo 2, comma 36, della legge 6 maggio 2015, n. 52, dopo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 parole: «e successive modificazioni,» sono inserite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seguenti: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«per la Camera dei deputati e per il Senato della Repubblica,»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parole: «1° gennaio 2014» sono sostituite dalle seguenti: «15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aprile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2017».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2.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Alla legge 27 dicembre 2001, n. 459, sono apportate 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seguenti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modificazioni: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 xml:space="preserve"> all'articolo 4-bis, comma 2, le parole: «entro i dieci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giorni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successivi alla data di pubblicazione del decreto di convocazione dei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comizi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elettorali»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sostituite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seguenti: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«entro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trentaduesimo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giorno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antecedente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svolgimento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consultazione elettorale»;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b)</w:t>
      </w:r>
      <w:r w:rsidRPr="00AC7816">
        <w:rPr>
          <w:rFonts w:ascii="Verdana" w:hAnsi="Verdana"/>
          <w:sz w:val="18"/>
          <w:szCs w:val="18"/>
        </w:rPr>
        <w:t xml:space="preserve"> all'articolo 8: </w:t>
      </w:r>
    </w:p>
    <w:p w:rsidR="00AC7816" w:rsidRPr="00AC7816" w:rsidRDefault="00AC7816" w:rsidP="00713CD2">
      <w:pPr>
        <w:tabs>
          <w:tab w:val="left" w:pos="426"/>
        </w:tabs>
        <w:spacing w:after="60"/>
        <w:ind w:left="426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1)</w:t>
      </w:r>
      <w:r w:rsidRPr="00AC7816">
        <w:rPr>
          <w:rFonts w:ascii="Verdana" w:hAnsi="Verdana"/>
          <w:sz w:val="18"/>
          <w:szCs w:val="18"/>
        </w:rPr>
        <w:t xml:space="preserve"> al comma 1, la lettera </w:t>
      </w:r>
      <w:r w:rsidRPr="00713CD2">
        <w:rPr>
          <w:rFonts w:ascii="Verdana" w:hAnsi="Verdana"/>
          <w:i/>
          <w:sz w:val="18"/>
          <w:szCs w:val="18"/>
        </w:rPr>
        <w:t>b)</w:t>
      </w:r>
      <w:r w:rsidRPr="00AC7816"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sostituita dalla seguente: «</w:t>
      </w:r>
      <w:r w:rsidRPr="00713CD2">
        <w:rPr>
          <w:rFonts w:ascii="Verdana" w:hAnsi="Verdana"/>
          <w:i/>
          <w:sz w:val="18"/>
          <w:szCs w:val="18"/>
        </w:rPr>
        <w:t>b)</w:t>
      </w:r>
      <w:r w:rsidRPr="00AC7816">
        <w:rPr>
          <w:rFonts w:ascii="Verdana" w:hAnsi="Verdana"/>
          <w:sz w:val="18"/>
          <w:szCs w:val="18"/>
        </w:rPr>
        <w:t xml:space="preserve"> gli elettori residenti in Italia possono essere candidati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una sola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ripartizione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circoscrizione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Estero;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elettori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residenti all'estero possono essere candidati solo nella ripartizione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di residenza della circoscrizione Estero;»; </w:t>
      </w:r>
    </w:p>
    <w:p w:rsidR="00AC7816" w:rsidRPr="00AC7816" w:rsidRDefault="00AC7816" w:rsidP="00713CD2">
      <w:pPr>
        <w:tabs>
          <w:tab w:val="left" w:pos="426"/>
        </w:tabs>
        <w:spacing w:after="120"/>
        <w:ind w:left="426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2)</w:t>
      </w:r>
      <w:r w:rsidRPr="00AC7816"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>è</w:t>
      </w:r>
      <w:r w:rsidRPr="00AC7816">
        <w:rPr>
          <w:rFonts w:ascii="Verdana" w:hAnsi="Verdana"/>
          <w:sz w:val="18"/>
          <w:szCs w:val="18"/>
        </w:rPr>
        <w:t xml:space="preserve"> aggiunto, in fine, il seguente comma: «4-bis. Gli elettori che ricoprono o che hanno ricoperto nei cinque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anni precedenti la data delle elezioni cariche di Governo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cariche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politiche elettive a qualsiasi livello o incarichi nella magistratura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 nelle Forze armate in uno Stato estero non possono essere candidati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 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elezioni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Camera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deputati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Repubblica nella circoscrizione Estero».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3.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Per le prime elezioni successive alla data di entrata 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vigore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sottoscrizioni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candidature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l'elezione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Camera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deputati, di 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all'articolo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18-bis,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comma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decreto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 della Repubblica n. 361 del 1957,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modificato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presente legge, </w:t>
      </w:r>
      <w:r w:rsidR="00713CD2">
        <w:rPr>
          <w:rFonts w:ascii="Verdana" w:hAnsi="Verdana"/>
          <w:sz w:val="18"/>
          <w:szCs w:val="18"/>
        </w:rPr>
        <w:t>è ridotto alla metà</w:t>
      </w:r>
      <w:r w:rsidRPr="00AC7816">
        <w:rPr>
          <w:rFonts w:ascii="Verdana" w:hAnsi="Verdana"/>
          <w:sz w:val="18"/>
          <w:szCs w:val="18"/>
        </w:rPr>
        <w:t xml:space="preserve">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4.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Per le prime elezioni successive alla data di entrata in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vigore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numero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sottoscrizioni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candidature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l'elezione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Senato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Repubblica, di cui all'articolo 9 del decreto legislativo 20 dicembre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1993, n. 533, come modificato dalla presente legge, </w:t>
      </w:r>
      <w:r w:rsidR="00713CD2">
        <w:rPr>
          <w:rFonts w:ascii="Verdana" w:hAnsi="Verdana"/>
          <w:sz w:val="18"/>
          <w:szCs w:val="18"/>
        </w:rPr>
        <w:t>è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ridotto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alla</w:t>
      </w:r>
      <w:r w:rsidR="00713CD2">
        <w:rPr>
          <w:rFonts w:ascii="Verdana" w:hAnsi="Verdana"/>
          <w:sz w:val="18"/>
          <w:szCs w:val="18"/>
        </w:rPr>
        <w:t xml:space="preserve"> metà</w:t>
      </w:r>
      <w:r w:rsidRPr="00AC7816">
        <w:rPr>
          <w:rFonts w:ascii="Verdana" w:hAnsi="Verdana"/>
          <w:sz w:val="18"/>
          <w:szCs w:val="18"/>
        </w:rPr>
        <w:t xml:space="preserve"> per le liste che presentano candidati nei collegi plurinominali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in tutte le circoscrizioni regionali.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5.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Ai fini di cui al comma 4, i rappresentanti di cui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all'articolo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17 del decreto 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Presidente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Repubblica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n.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361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1957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presentano alla cancelleria della corte d'appello o del tribunale del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capoluogo della regione, entro quarantotto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ore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presentazione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delle liste, la </w:t>
      </w:r>
      <w:r w:rsidRPr="00AC7816">
        <w:rPr>
          <w:rFonts w:ascii="Verdana" w:hAnsi="Verdana"/>
          <w:sz w:val="18"/>
          <w:szCs w:val="18"/>
        </w:rPr>
        <w:lastRenderedPageBreak/>
        <w:t>documentazione comprovante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l'avvenuta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presentazione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delle liste in tutte le circoscrizioni regionali.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6.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All'articolo 14, comma 1, della legge 21 marzo 1990, n. 53, sono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apportate le seguenti modificazioni: </w:t>
      </w:r>
    </w:p>
    <w:p w:rsidR="00AC7816" w:rsidRPr="00AC7816" w:rsidRDefault="00AC7816" w:rsidP="00713CD2">
      <w:pPr>
        <w:tabs>
          <w:tab w:val="left" w:pos="426"/>
        </w:tabs>
        <w:spacing w:after="6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a)</w:t>
      </w:r>
      <w:r w:rsidRPr="00AC7816">
        <w:rPr>
          <w:rFonts w:ascii="Verdana" w:hAnsi="Verdana"/>
          <w:sz w:val="18"/>
          <w:szCs w:val="18"/>
        </w:rPr>
        <w:t xml:space="preserve"> 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primo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periodo,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parole: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«i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sindaci,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assessori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comunali e provinciali» sono sostituite dalle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seguenti: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«i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sindaci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metropolitani, i sindaci, gli assessori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comunali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provinciali,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componenti della conferenza metropolitana»;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713CD2">
        <w:rPr>
          <w:rFonts w:ascii="Verdana" w:hAnsi="Verdana"/>
          <w:i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secondo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periodo,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dopo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parole: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«i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consiglieri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provinciali»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inserite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seguenti: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«,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consiglieri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metropolitani». </w:t>
      </w:r>
    </w:p>
    <w:p w:rsidR="00AC7816" w:rsidRPr="00AC7816" w:rsidRDefault="00AC7816" w:rsidP="00713CD2">
      <w:pPr>
        <w:tabs>
          <w:tab w:val="left" w:pos="426"/>
        </w:tabs>
        <w:spacing w:after="120"/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7.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Esclusivamente per le prime elezioni della Camera dei deputati 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 Senato della Repubblica successive alla data di entrata in vigore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legge,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sono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abilitati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all'autenticazione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delle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sottoscrizioni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nel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procedimento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elettorale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soggetti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indicati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all'articolo 14 della legge 21 marzo 1990, n. 53, come modificato dal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presente articolo,</w:t>
      </w:r>
      <w:r>
        <w:rPr>
          <w:rFonts w:ascii="Verdana" w:hAnsi="Verdana"/>
          <w:sz w:val="18"/>
          <w:szCs w:val="18"/>
        </w:rPr>
        <w:t xml:space="preserve"> </w:t>
      </w:r>
      <w:r w:rsidR="00713CD2">
        <w:rPr>
          <w:rFonts w:ascii="Verdana" w:hAnsi="Verdana"/>
          <w:sz w:val="18"/>
          <w:szCs w:val="18"/>
        </w:rPr>
        <w:t>nonché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gli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avvocati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abilitati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patrocinio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davanti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alle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giurisdizioni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superiori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iscritti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all'albo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un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distretto rientrante nella circoscrizione elettorale. </w:t>
      </w:r>
    </w:p>
    <w:p w:rsidR="00AC7816" w:rsidRDefault="00AC7816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AC7816">
        <w:rPr>
          <w:rFonts w:ascii="Verdana" w:hAnsi="Verdana"/>
          <w:sz w:val="18"/>
          <w:szCs w:val="18"/>
        </w:rPr>
        <w:t>8.</w:t>
      </w:r>
      <w:r w:rsidR="00713CD2">
        <w:rPr>
          <w:rFonts w:ascii="Verdana" w:hAnsi="Verdana"/>
          <w:sz w:val="18"/>
          <w:szCs w:val="18"/>
        </w:rPr>
        <w:tab/>
      </w:r>
      <w:r w:rsidRPr="00AC7816">
        <w:rPr>
          <w:rFonts w:ascii="Verdana" w:hAnsi="Verdana"/>
          <w:sz w:val="18"/>
          <w:szCs w:val="18"/>
        </w:rPr>
        <w:t>La presente legge entra in vigore il giorno successivo a</w:t>
      </w:r>
      <w:r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>quello</w:t>
      </w:r>
      <w:r w:rsidR="00713CD2">
        <w:rPr>
          <w:rFonts w:ascii="Verdana" w:hAnsi="Verdana"/>
          <w:sz w:val="18"/>
          <w:szCs w:val="18"/>
        </w:rPr>
        <w:t xml:space="preserve"> </w:t>
      </w:r>
      <w:r w:rsidRPr="00AC7816">
        <w:rPr>
          <w:rFonts w:ascii="Verdana" w:hAnsi="Verdana"/>
          <w:sz w:val="18"/>
          <w:szCs w:val="18"/>
        </w:rPr>
        <w:t xml:space="preserve">della sua pubblicazione nella Gazzetta Ufficiale. </w:t>
      </w:r>
    </w:p>
    <w:p w:rsidR="00713CD2" w:rsidRPr="00E134F8" w:rsidRDefault="00713CD2" w:rsidP="00713CD2">
      <w:pPr>
        <w:tabs>
          <w:tab w:val="left" w:pos="426"/>
        </w:tabs>
        <w:spacing w:after="0"/>
        <w:jc w:val="both"/>
        <w:rPr>
          <w:rFonts w:ascii="Verdana" w:hAnsi="Verdana"/>
          <w:b/>
          <w:color w:val="1F497D" w:themeColor="text2"/>
          <w:sz w:val="18"/>
          <w:szCs w:val="18"/>
        </w:rPr>
      </w:pPr>
    </w:p>
    <w:p w:rsidR="00713CD2" w:rsidRDefault="00713CD2" w:rsidP="00713CD2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530ED7">
        <w:rPr>
          <w:rFonts w:ascii="Verdana" w:hAnsi="Verdana"/>
          <w:sz w:val="18"/>
          <w:szCs w:val="18"/>
        </w:rPr>
        <w:t>La presente legge, munita del sigillo dello Stato,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sar</w:t>
      </w:r>
      <w:r>
        <w:rPr>
          <w:rFonts w:ascii="Verdana" w:hAnsi="Verdana"/>
          <w:sz w:val="18"/>
          <w:szCs w:val="18"/>
        </w:rPr>
        <w:t xml:space="preserve">à </w:t>
      </w:r>
      <w:r w:rsidRPr="00530ED7">
        <w:rPr>
          <w:rFonts w:ascii="Verdana" w:hAnsi="Verdana"/>
          <w:sz w:val="18"/>
          <w:szCs w:val="18"/>
        </w:rPr>
        <w:t>inserita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nella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Raccolta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ufficiale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degli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atti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normativi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della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Repubblica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italiana.</w:t>
      </w:r>
      <w:r>
        <w:rPr>
          <w:rFonts w:ascii="Verdana" w:hAnsi="Verdana"/>
          <w:sz w:val="18"/>
          <w:szCs w:val="18"/>
        </w:rPr>
        <w:t xml:space="preserve"> È </w:t>
      </w:r>
      <w:r w:rsidRPr="00530ED7">
        <w:rPr>
          <w:rFonts w:ascii="Verdana" w:hAnsi="Verdana"/>
          <w:sz w:val="18"/>
          <w:szCs w:val="18"/>
        </w:rPr>
        <w:t>fatto obbligo a chiunque spetti di osservarla e di farla</w:t>
      </w:r>
      <w:r>
        <w:rPr>
          <w:rFonts w:ascii="Verdana" w:hAnsi="Verdana"/>
          <w:sz w:val="18"/>
          <w:szCs w:val="18"/>
        </w:rPr>
        <w:t xml:space="preserve"> </w:t>
      </w:r>
      <w:r w:rsidRPr="00530ED7">
        <w:rPr>
          <w:rFonts w:ascii="Verdana" w:hAnsi="Verdana"/>
          <w:sz w:val="18"/>
          <w:szCs w:val="18"/>
        </w:rPr>
        <w:t>osservare come legge dello Stato.</w:t>
      </w:r>
    </w:p>
    <w:p w:rsidR="00713CD2" w:rsidRPr="00E134F8" w:rsidRDefault="00713CD2" w:rsidP="00713CD2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713CD2" w:rsidRPr="00E134F8" w:rsidRDefault="00713CD2" w:rsidP="00713CD2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Data a Roma, addì</w:t>
      </w:r>
      <w:r w:rsidRPr="00E134F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 novembre 2017</w:t>
      </w:r>
    </w:p>
    <w:p w:rsidR="00713CD2" w:rsidRPr="00E134F8" w:rsidRDefault="00713CD2" w:rsidP="00713CD2">
      <w:pPr>
        <w:tabs>
          <w:tab w:val="left" w:pos="426"/>
        </w:tabs>
        <w:ind w:left="39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MATTARELLA</w:t>
      </w:r>
    </w:p>
    <w:p w:rsidR="00713CD2" w:rsidRDefault="00713CD2" w:rsidP="00713CD2">
      <w:pPr>
        <w:tabs>
          <w:tab w:val="left" w:pos="426"/>
        </w:tabs>
        <w:ind w:left="39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Gentiloni Silveri</w:t>
      </w:r>
      <w:r w:rsidRPr="00E134F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E134F8">
        <w:rPr>
          <w:rFonts w:ascii="Verdana" w:hAnsi="Verdana"/>
          <w:sz w:val="18"/>
          <w:szCs w:val="18"/>
        </w:rPr>
        <w:t>Presidente del Consiglio</w:t>
      </w:r>
      <w:r>
        <w:rPr>
          <w:rFonts w:ascii="Verdana" w:hAnsi="Verdana"/>
          <w:sz w:val="18"/>
          <w:szCs w:val="18"/>
        </w:rPr>
        <w:t xml:space="preserve"> </w:t>
      </w:r>
      <w:r w:rsidRPr="00E134F8">
        <w:rPr>
          <w:rFonts w:ascii="Verdana" w:hAnsi="Verdana"/>
          <w:sz w:val="18"/>
          <w:szCs w:val="18"/>
        </w:rPr>
        <w:t>dei Ministri</w:t>
      </w:r>
    </w:p>
    <w:p w:rsidR="00713CD2" w:rsidRPr="00AC7816" w:rsidRDefault="00713CD2" w:rsidP="00AC7816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  <w:r w:rsidRPr="00E134F8">
        <w:rPr>
          <w:rFonts w:ascii="Verdana" w:hAnsi="Verdana"/>
          <w:sz w:val="18"/>
          <w:szCs w:val="18"/>
        </w:rPr>
        <w:t xml:space="preserve">Visto, il Guardasigilli: </w:t>
      </w:r>
      <w:r>
        <w:rPr>
          <w:rFonts w:ascii="Verdana" w:hAnsi="Verdana"/>
          <w:sz w:val="18"/>
          <w:szCs w:val="18"/>
        </w:rPr>
        <w:t>Orlando</w:t>
      </w:r>
    </w:p>
    <w:sectPr w:rsidR="00713CD2" w:rsidRPr="00AC7816" w:rsidSect="00AC7816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76" w:rsidRDefault="00BD4C76" w:rsidP="00BD4C76">
      <w:pPr>
        <w:spacing w:after="0" w:line="240" w:lineRule="auto"/>
      </w:pPr>
      <w:r>
        <w:separator/>
      </w:r>
    </w:p>
  </w:endnote>
  <w:endnote w:type="continuationSeparator" w:id="0">
    <w:p w:rsidR="00BD4C76" w:rsidRDefault="00BD4C76" w:rsidP="00B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B3" w:rsidRPr="007656B3" w:rsidRDefault="007656B3" w:rsidP="007656B3">
    <w:pPr>
      <w:pStyle w:val="Pidipagina"/>
      <w:tabs>
        <w:tab w:val="right" w:pos="8505"/>
      </w:tabs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Ultimo aggiornamento: 24/08/2018</w:t>
    </w:r>
    <w:r>
      <w:rPr>
        <w:rFonts w:ascii="Verdana" w:hAnsi="Verdana"/>
        <w:i/>
        <w:sz w:val="17"/>
        <w:szCs w:val="17"/>
      </w:rPr>
      <w:tab/>
    </w:r>
    <w:r>
      <w:rPr>
        <w:rFonts w:ascii="Verdana" w:hAnsi="Verdana"/>
        <w:i/>
        <w:sz w:val="17"/>
        <w:szCs w:val="17"/>
      </w:rPr>
      <w:tab/>
    </w:r>
    <w:r>
      <w:rPr>
        <w:rFonts w:ascii="Verdana" w:hAnsi="Verdana"/>
        <w:i/>
        <w:sz w:val="17"/>
        <w:szCs w:val="17"/>
      </w:rPr>
      <w:fldChar w:fldCharType="begin"/>
    </w:r>
    <w:r>
      <w:rPr>
        <w:rFonts w:ascii="Verdana" w:hAnsi="Verdana"/>
        <w:i/>
        <w:sz w:val="17"/>
        <w:szCs w:val="17"/>
      </w:rPr>
      <w:instrText>PAGE   \* MERGEFORMAT</w:instrText>
    </w:r>
    <w:r>
      <w:rPr>
        <w:rFonts w:ascii="Verdana" w:hAnsi="Verdana"/>
        <w:i/>
        <w:sz w:val="17"/>
        <w:szCs w:val="17"/>
      </w:rPr>
      <w:fldChar w:fldCharType="separate"/>
    </w:r>
    <w:r>
      <w:rPr>
        <w:rFonts w:ascii="Verdana" w:hAnsi="Verdana"/>
        <w:i/>
        <w:noProof/>
        <w:sz w:val="17"/>
        <w:szCs w:val="17"/>
      </w:rPr>
      <w:t>5</w:t>
    </w:r>
    <w:r>
      <w:rPr>
        <w:rFonts w:ascii="Verdana" w:hAnsi="Verdana"/>
        <w:i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76" w:rsidRDefault="00BD4C76" w:rsidP="00BD4C76">
      <w:pPr>
        <w:spacing w:after="0" w:line="240" w:lineRule="auto"/>
      </w:pPr>
      <w:r>
        <w:separator/>
      </w:r>
    </w:p>
  </w:footnote>
  <w:footnote w:type="continuationSeparator" w:id="0">
    <w:p w:rsidR="00BD4C76" w:rsidRDefault="00BD4C76" w:rsidP="00B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505"/>
      <w:gridCol w:w="5108"/>
    </w:tblGrid>
    <w:tr w:rsidR="00BD4C76" w:rsidTr="00BD4C76">
      <w:tc>
        <w:tcPr>
          <w:tcW w:w="3505" w:type="dxa"/>
          <w:vAlign w:val="center"/>
          <w:hideMark/>
        </w:tcPr>
        <w:p w:rsidR="00BD4C76" w:rsidRDefault="00BD4C76">
          <w:pPr>
            <w:rPr>
              <w:rFonts w:ascii="Verdana" w:hAnsi="Verdana"/>
              <w:b/>
              <w:noProof/>
              <w:sz w:val="26"/>
              <w:szCs w:val="26"/>
              <w:lang w:eastAsia="it-IT"/>
            </w:rPr>
          </w:pPr>
          <w:r>
            <w:rPr>
              <w:rFonts w:ascii="Verdana" w:hAnsi="Verdana"/>
              <w:b/>
              <w:noProof/>
              <w:sz w:val="26"/>
              <w:szCs w:val="26"/>
              <w:lang w:eastAsia="it-IT"/>
            </w:rPr>
            <w:drawing>
              <wp:inline distT="0" distB="0" distL="0" distR="0">
                <wp:extent cx="2042160" cy="4038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1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  <w:hideMark/>
        </w:tcPr>
        <w:p w:rsidR="00BD4C76" w:rsidRDefault="00BD4C76">
          <w:pPr>
            <w:jc w:val="right"/>
            <w:rPr>
              <w:rFonts w:ascii="Verdana" w:hAnsi="Verdana"/>
              <w:b/>
              <w:noProof/>
              <w:sz w:val="26"/>
              <w:szCs w:val="26"/>
              <w:lang w:eastAsia="it-IT"/>
            </w:rPr>
          </w:pPr>
          <w:r>
            <w:rPr>
              <w:rFonts w:ascii="Verdana" w:hAnsi="Verdana"/>
              <w:b/>
              <w:noProof/>
              <w:sz w:val="26"/>
              <w:szCs w:val="26"/>
              <w:lang w:eastAsia="it-IT"/>
            </w:rPr>
            <w:drawing>
              <wp:inline distT="0" distB="0" distL="0" distR="0">
                <wp:extent cx="739140" cy="624840"/>
                <wp:effectExtent l="0" t="0" r="381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4C76" w:rsidRDefault="00BD4C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2"/>
    <w:rsid w:val="00231B32"/>
    <w:rsid w:val="00713CD2"/>
    <w:rsid w:val="007656B3"/>
    <w:rsid w:val="00AC7816"/>
    <w:rsid w:val="00BD4C76"/>
    <w:rsid w:val="00BF69D2"/>
    <w:rsid w:val="00C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8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4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C76"/>
  </w:style>
  <w:style w:type="paragraph" w:styleId="Pidipagina">
    <w:name w:val="footer"/>
    <w:basedOn w:val="Normale"/>
    <w:link w:val="PidipaginaCarattere"/>
    <w:uiPriority w:val="99"/>
    <w:unhideWhenUsed/>
    <w:qFormat/>
    <w:rsid w:val="00BD4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C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8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4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C76"/>
  </w:style>
  <w:style w:type="paragraph" w:styleId="Pidipagina">
    <w:name w:val="footer"/>
    <w:basedOn w:val="Normale"/>
    <w:link w:val="PidipaginaCarattere"/>
    <w:uiPriority w:val="99"/>
    <w:unhideWhenUsed/>
    <w:qFormat/>
    <w:rsid w:val="00BD4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C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666666"/>
            <w:right w:val="none" w:sz="0" w:space="0" w:color="auto"/>
          </w:divBdr>
        </w:div>
        <w:div w:id="715160813">
          <w:marLeft w:val="6087"/>
          <w:marRight w:val="60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6960">
          <w:marLeft w:val="6153"/>
          <w:marRight w:val="6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6">
          <w:marLeft w:val="6260"/>
          <w:marRight w:val="6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666666"/>
            <w:right w:val="none" w:sz="0" w:space="0" w:color="auto"/>
          </w:divBdr>
        </w:div>
      </w:divsChild>
    </w:div>
    <w:div w:id="1357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Menoncello</dc:creator>
  <cp:lastModifiedBy>Serena Menoncello</cp:lastModifiedBy>
  <cp:revision>2</cp:revision>
  <dcterms:created xsi:type="dcterms:W3CDTF">2018-08-24T15:57:00Z</dcterms:created>
  <dcterms:modified xsi:type="dcterms:W3CDTF">2018-08-24T15:57:00Z</dcterms:modified>
</cp:coreProperties>
</file>