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BD09F7">
        <w:rPr>
          <w:rFonts w:ascii="Verdana" w:hAnsi="Verdana" w:cs="Arial"/>
          <w:b/>
          <w:color w:val="4E3F85"/>
          <w:sz w:val="20"/>
          <w:szCs w:val="20"/>
        </w:rPr>
        <w:t>LEGGE 5 luglio 1982, n. 441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pubblicit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 patrimoniale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titolari di cariche elettive e di cariche direttive di alcuni enti.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IL PRESIDENTE DELLA REPUBBLICA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PROMULGA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seguente legge: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del</w:t>
      </w:r>
      <w:r>
        <w:rPr>
          <w:rFonts w:ascii="Verdana" w:hAnsi="Verdana"/>
          <w:sz w:val="18"/>
          <w:szCs w:val="18"/>
        </w:rPr>
        <w:t>la presente legge si applicano: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ai membri del 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deputati;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al Presidente del Consiglio dei Mi</w:t>
      </w:r>
      <w:r>
        <w:rPr>
          <w:rFonts w:ascii="Verdana" w:hAnsi="Verdana"/>
          <w:sz w:val="18"/>
          <w:szCs w:val="18"/>
        </w:rPr>
        <w:t xml:space="preserve">nistri, ai Ministri,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Vice Ministri,</w:t>
      </w:r>
      <w:r w:rsidRPr="00BD09F7">
        <w:rPr>
          <w:rFonts w:ascii="Verdana" w:hAnsi="Verdana"/>
          <w:sz w:val="18"/>
          <w:szCs w:val="18"/>
        </w:rPr>
        <w:t xml:space="preserve"> ai Sottosegretari di Stato;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regionale;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consiglieri provinciali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ai consiglieri di comuni capoluogo di provincia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superiore ai 15.000 abitanti;</w:t>
      </w:r>
      <w:r w:rsidRPr="00BD09F7">
        <w:rPr>
          <w:rFonts w:ascii="Verdana" w:hAnsi="Verdana"/>
          <w:sz w:val="18"/>
          <w:szCs w:val="18"/>
        </w:rPr>
        <w:t xml:space="preserve">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ai membri del Parlamento europeo spettanti all'Italia.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 ed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appartenenza: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una dichiarazione concernente i diritti reali su beni immobili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 su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registri;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>; le quote</w:t>
      </w:r>
      <w:r>
        <w:rPr>
          <w:rFonts w:ascii="Verdana" w:hAnsi="Verdana"/>
          <w:sz w:val="18"/>
          <w:szCs w:val="18"/>
        </w:rPr>
        <w:t xml:space="preserve"> di partecipazione a società</w:t>
      </w:r>
      <w:r w:rsidRPr="00BD09F7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o di sindaco di società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dichiarazione corrisponde al vero";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all'imposta sui redditi delle persone fisiche;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obbligazioni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assunte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l'attestazione di essersi avvalsi esclusivamente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mezzi propagandistici predisposti e messi a disposizione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dalla formazione politica della cui lista hanno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corrisponde al vero". Alla dichiarazione debbono essere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allegate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4 della legge 18 novembre 1981, n. 659,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eventuali contributi ricevuti.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Gli adempimenti indicati nei numeri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concernono anche la situazione patrimoniale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 d</w:t>
      </w:r>
      <w:r>
        <w:rPr>
          <w:rFonts w:ascii="Verdana" w:hAnsi="Verdana"/>
          <w:sz w:val="18"/>
          <w:szCs w:val="18"/>
        </w:rPr>
        <w:t>el coniuge non separato, nonché</w:t>
      </w:r>
      <w:r w:rsidRPr="00BD09F7">
        <w:rPr>
          <w:rFonts w:ascii="Verdana" w:hAnsi="Verdana"/>
          <w:sz w:val="18"/>
          <w:szCs w:val="18"/>
        </w:rPr>
        <w:t xml:space="preserve"> dei figli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 il secondo grado di parentel</w:t>
      </w:r>
      <w:r>
        <w:rPr>
          <w:rFonts w:ascii="Verdana" w:hAnsi="Verdana"/>
          <w:sz w:val="18"/>
          <w:szCs w:val="18"/>
        </w:rPr>
        <w:t>a, se gli stessi vi consentono</w:t>
      </w:r>
      <w:r w:rsidRPr="00BD09F7">
        <w:rPr>
          <w:rFonts w:ascii="Verdana" w:hAnsi="Verdana"/>
          <w:sz w:val="18"/>
          <w:szCs w:val="18"/>
        </w:rPr>
        <w:t xml:space="preserve">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Costituzione, ed i 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59 della Costituzione sono tenuti 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 di presidenza del Senato della Repubblica 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dalla cessazione dall'ufficio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 o dalla comunicazione della nomina.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un mese dalla scadenza del termine utile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all'imposta sui 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2 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un'attestazione concernente le variazioni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 primo comma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intervenute nell'anno precedente e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redditi. A tale adempimento annuale si applica 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penultimo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 successivi alla cessazione dall'ufficio i 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 sono tenuti a depositare una 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 patrimoniale di cui 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 del medesimo articolo 2 intervenute dopo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attestazione.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mese successivo alla scadenza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una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annuale relativa ai redditi delle persone fisiche.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 il secondo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contenute nei precedenti commi non si applicano 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rielezione del soggetto, cessato dalla carica per il rinnovo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di appartenenza.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precedenti articoli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su uno schema di modulo predisposto dagli uffici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 d'intesa tra loro.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 dall'entrata in vigore della presente legge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Repubblica 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nei numeri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Nel caso di inadempienza degli obblighi imposti dagli articoli 2, 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 Presidente della Camera alla quale l'inadempiente appartiene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 diffida ad adempiere entro il termine di quindici giorni.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pregiudizio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sanzioni disciplinari eventualmente previste</w:t>
      </w:r>
      <w:r>
        <w:rPr>
          <w:rFonts w:ascii="Verdana" w:hAnsi="Verdana"/>
          <w:sz w:val="18"/>
          <w:szCs w:val="18"/>
        </w:rPr>
        <w:t xml:space="preserve"> nell'ambito della potestà </w:t>
      </w:r>
      <w:r w:rsidRPr="00BD09F7">
        <w:rPr>
          <w:rFonts w:ascii="Verdana" w:hAnsi="Verdana"/>
          <w:sz w:val="18"/>
          <w:szCs w:val="18"/>
        </w:rPr>
        <w:t>regolamentare, nel caso di inosservanza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appartenenza ne d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notizia all'Assemblea.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dei deputati hanno diritto di conoscere le 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9.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dei deputati hanno altresì </w:t>
      </w:r>
      <w:r w:rsidRPr="00BD09F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conoscere,</w:t>
      </w:r>
      <w:r>
        <w:rPr>
          <w:rFonts w:ascii="Verdana" w:hAnsi="Verdana"/>
          <w:sz w:val="18"/>
          <w:szCs w:val="18"/>
        </w:rPr>
        <w:t xml:space="preserve"> secondo le modalità</w:t>
      </w:r>
      <w:r w:rsidRPr="00BD09F7">
        <w:rPr>
          <w:rFonts w:ascii="Verdana" w:hAnsi="Verdana"/>
          <w:sz w:val="18"/>
          <w:szCs w:val="18"/>
        </w:rPr>
        <w:t xml:space="preserve"> 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 previste dal terzo comma dell'articolo 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legge 18 novembre 1981, n. 659.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2, nonch</w:t>
      </w:r>
      <w:r>
        <w:rPr>
          <w:rFonts w:ascii="Verdana" w:hAnsi="Verdana"/>
          <w:sz w:val="18"/>
          <w:szCs w:val="18"/>
        </w:rPr>
        <w:t>é</w:t>
      </w:r>
      <w:r w:rsidRPr="00BD09F7">
        <w:rPr>
          <w:rFonts w:ascii="Verdana" w:hAnsi="Verdana"/>
          <w:sz w:val="18"/>
          <w:szCs w:val="18"/>
        </w:rPr>
        <w:t xml:space="preserve"> quelle previste dagli articoli 3 e 4 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bollettino pubblicato a cura dell'ufficio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appartenenza.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Nello stesso bollettino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riportate, per ciascun soggetto, le notizie risultanti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quadro riepilogativo della dichiarazione dei redditi, depositata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ai sensi del numero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 primo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Il bollettino è</w:t>
      </w:r>
      <w:r w:rsidRPr="00BD09F7">
        <w:rPr>
          <w:rFonts w:ascii="Verdana" w:hAnsi="Verdana"/>
          <w:sz w:val="18"/>
          <w:szCs w:val="18"/>
        </w:rPr>
        <w:t xml:space="preserve"> a disposizione dei soggetti indicali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8.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Per i soggetti indicati nei numeri </w:t>
      </w: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che non appartengono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l'applicazione di tutte le precedenti disposizioni </w:t>
      </w:r>
      <w:r>
        <w:rPr>
          <w:rFonts w:ascii="Verdana" w:hAnsi="Verdana"/>
          <w:sz w:val="18"/>
          <w:szCs w:val="18"/>
        </w:rPr>
        <w:t>è</w:t>
      </w:r>
      <w:r w:rsidRPr="00BD09F7">
        <w:rPr>
          <w:rFonts w:ascii="Verdana" w:hAnsi="Verdana"/>
          <w:sz w:val="18"/>
          <w:szCs w:val="18"/>
        </w:rPr>
        <w:t xml:space="preserve"> il Senato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 i soggetti indicati nel comma 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 primo comma dell'articolo 2 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decorrono, rispettivamente, dal momento dell'assunzione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e dal momento della cessazione dalla medesima.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degli articoli da 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soggetti indicati nei numeri </w:t>
      </w: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secondo le modalit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stabilite dai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 pubblicazione prevista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 riguarda le regioni, sul bollettino previsto dagli statuti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 pubblicazione 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provinciali e comunali, su apposito bollettino.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cui agli articoli 2, 3, 4, 6 e 7 si applicano,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le modificazioni di cui ai successivi articoli: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istituti e di enti pubblici, anche economici,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 proposta o designazione o approvazione di nomina sia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demandata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 Presidente del Consiglio dei Ministri, al Consiglio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 od a singoli Ministri;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al cui capitale concorrano lo Stato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enti pubblici, nelle varie forme di intervento o di partecipazione,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 un importo superiore al venti per cento;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 presidenti, ai vicepresidenti, agli amministratori 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istituti privati, al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 concorrano lo Stato o enti pubblici in misura superiore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dell'ammontare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complessivo delle spese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esposte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 bilancio ed a condizione che queste superino 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somma annua di lire cinquecento milioni;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direttori generali delle aziende autonome dello Stato;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aziende speciali di cui al regio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decreto 15 ottobre 1925, n. 2578, dei comuni capoluogo di provincia 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popolazione superiore ai centomila abitanti.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atti indicati negli articoli 2, 3, 4 e 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trasmessi, per quanto riguarda i soggetti indicati 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4</w:t>
      </w:r>
      <w:r w:rsidRPr="00BD09F7">
        <w:rPr>
          <w:rFonts w:ascii="Verdana" w:hAnsi="Verdana"/>
          <w:sz w:val="18"/>
          <w:szCs w:val="18"/>
        </w:rPr>
        <w:t xml:space="preserve"> dell'articolo 12, 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Ministri e, per quanto riguarda i soggetti indicati nel numero </w:t>
      </w:r>
      <w:r w:rsidRPr="00885E64">
        <w:rPr>
          <w:rFonts w:ascii="Verdana" w:hAnsi="Verdana"/>
          <w:i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 locale interessata.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diffida di cui all'articolo 7 è</w:t>
      </w:r>
      <w:r w:rsidRPr="00BD09F7">
        <w:rPr>
          <w:rFonts w:ascii="Verdana" w:hAnsi="Verdana"/>
          <w:sz w:val="18"/>
          <w:szCs w:val="18"/>
        </w:rPr>
        <w:t xml:space="preserve"> effettuata per quanto 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 indicati nell'articolo 12, secondo i casi, dal 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interessata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constatata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l'inadempienza,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notizia,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nella Gazzetta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Ufficiale della Repubblica o nell'albo comunale o provinciale.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applicano le disposizioni degli articoli 8 e 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dell'articolo 12, la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proposta o designazione o approvazione di nomina spettino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della regione, e per i soggetti indicati nei numeri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concorra,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ivi prevista, al capitale o al funzionamento, le regioni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dell'ordinamento espressi dalla presente legge.</w:t>
      </w:r>
    </w:p>
    <w:p w:rsid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All'onere finanziario derivante dalla presente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nell'ambito degli stanziamenti di bilancio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ciascuna Camera. Le regioni, le province ed i comuni provvedono con 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fondi stanziati per il funzionamento dei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lastRenderedPageBreak/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inser</w:t>
      </w:r>
      <w:r>
        <w:rPr>
          <w:rFonts w:ascii="Verdana" w:hAnsi="Verdana"/>
          <w:sz w:val="18"/>
          <w:szCs w:val="18"/>
        </w:rPr>
        <w:t>i</w:t>
      </w:r>
      <w:r w:rsidRPr="00BD09F7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D09F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servare come legge dello Stato.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D09F7">
        <w:rPr>
          <w:rFonts w:ascii="Verdana" w:hAnsi="Verdana"/>
          <w:sz w:val="18"/>
          <w:szCs w:val="18"/>
        </w:rPr>
        <w:t xml:space="preserve"> 5 luglio 1982 </w:t>
      </w:r>
    </w:p>
    <w:p w:rsidR="00BD09F7" w:rsidRPr="00BD09F7" w:rsidRDefault="00BD09F7" w:rsidP="00BD09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PERTINI </w:t>
      </w:r>
    </w:p>
    <w:p w:rsidR="00BD09F7" w:rsidRPr="00BD09F7" w:rsidRDefault="00BD09F7" w:rsidP="00BD09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SPADOLINI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Visto, il Guardasigilli: DARIDA </w:t>
      </w:r>
    </w:p>
    <w:p w:rsidR="006D2BF9" w:rsidRPr="00BD09F7" w:rsidRDefault="006D2BF9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6D2BF9" w:rsidRPr="00BD0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7"/>
    <w:rsid w:val="006D2BF9"/>
    <w:rsid w:val="00885E64"/>
    <w:rsid w:val="00B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1</cp:revision>
  <dcterms:created xsi:type="dcterms:W3CDTF">2014-04-01T11:00:00Z</dcterms:created>
  <dcterms:modified xsi:type="dcterms:W3CDTF">2014-04-01T11:17:00Z</dcterms:modified>
</cp:coreProperties>
</file>