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A5" w:rsidRPr="0038266E" w:rsidRDefault="003300A5" w:rsidP="003300A5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38266E">
        <w:rPr>
          <w:rFonts w:ascii="Verdana" w:hAnsi="Verdana" w:cs="Arial"/>
          <w:b/>
          <w:color w:val="4E3F85"/>
          <w:sz w:val="20"/>
          <w:szCs w:val="20"/>
        </w:rPr>
        <w:t xml:space="preserve">LEGGE </w:t>
      </w:r>
      <w:r w:rsidR="00694F8E">
        <w:rPr>
          <w:rFonts w:ascii="Verdana" w:hAnsi="Verdana" w:cs="Arial"/>
          <w:b/>
          <w:color w:val="4E3F85"/>
          <w:sz w:val="20"/>
          <w:szCs w:val="20"/>
        </w:rPr>
        <w:t>9 gennaio 2019</w:t>
      </w:r>
      <w:r w:rsidRPr="0038266E">
        <w:rPr>
          <w:rFonts w:ascii="Verdana" w:hAnsi="Verdana" w:cs="Arial"/>
          <w:b/>
          <w:color w:val="4E3F85"/>
          <w:sz w:val="20"/>
          <w:szCs w:val="20"/>
        </w:rPr>
        <w:t xml:space="preserve">, n. </w:t>
      </w:r>
      <w:r w:rsidR="00694F8E">
        <w:rPr>
          <w:rFonts w:ascii="Verdana" w:hAnsi="Verdana" w:cs="Arial"/>
          <w:b/>
          <w:color w:val="4E3F85"/>
          <w:sz w:val="20"/>
          <w:szCs w:val="20"/>
        </w:rPr>
        <w:t>3</w:t>
      </w:r>
      <w:r w:rsidRPr="0038266E">
        <w:rPr>
          <w:rFonts w:ascii="Verdana" w:hAnsi="Verdana" w:cs="Arial"/>
          <w:b/>
          <w:color w:val="4E3F85"/>
          <w:sz w:val="20"/>
          <w:szCs w:val="20"/>
        </w:rPr>
        <w:t xml:space="preserve"> </w:t>
      </w:r>
    </w:p>
    <w:p w:rsidR="003300A5" w:rsidRPr="0038266E" w:rsidRDefault="00694F8E" w:rsidP="003300A5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694F8E">
        <w:rPr>
          <w:rFonts w:ascii="Verdana" w:hAnsi="Verdana" w:cs="Arial"/>
          <w:sz w:val="20"/>
          <w:szCs w:val="20"/>
        </w:rPr>
        <w:t>Misure per il contrasto dei reati contro la pubblica amministrazione, nonch</w:t>
      </w:r>
      <w:r>
        <w:rPr>
          <w:rFonts w:ascii="Verdana" w:hAnsi="Verdana" w:cs="Arial"/>
          <w:sz w:val="20"/>
          <w:szCs w:val="20"/>
        </w:rPr>
        <w:t>é</w:t>
      </w:r>
      <w:r w:rsidRPr="00694F8E">
        <w:rPr>
          <w:rFonts w:ascii="Verdana" w:hAnsi="Verdana" w:cs="Arial"/>
          <w:sz w:val="20"/>
          <w:szCs w:val="20"/>
        </w:rPr>
        <w:t xml:space="preserve"> in materia di prescrizione del reato e in materia di trasparenza dei partiti e movimenti politici</w:t>
      </w:r>
      <w:r w:rsidR="003300A5" w:rsidRPr="0038266E">
        <w:rPr>
          <w:rFonts w:ascii="Verdana" w:hAnsi="Verdana" w:cs="Arial"/>
          <w:sz w:val="20"/>
          <w:szCs w:val="20"/>
        </w:rPr>
        <w:t>.</w:t>
      </w:r>
    </w:p>
    <w:p w:rsidR="003300A5" w:rsidRDefault="003300A5" w:rsidP="003300A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3300A5" w:rsidRPr="003300A5" w:rsidRDefault="003300A5" w:rsidP="00BA43A2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approvato;</w:t>
      </w:r>
    </w:p>
    <w:p w:rsidR="003300A5" w:rsidRPr="003300A5" w:rsidRDefault="003300A5" w:rsidP="00BA43A2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IL PRESIDENTE DELLA REPUBBLICA</w:t>
      </w:r>
    </w:p>
    <w:p w:rsidR="003300A5" w:rsidRPr="003300A5" w:rsidRDefault="003300A5" w:rsidP="00BA43A2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PROMULGA</w:t>
      </w:r>
    </w:p>
    <w:p w:rsidR="003300A5" w:rsidRPr="003300A5" w:rsidRDefault="003300A5" w:rsidP="003300A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la seguente legge:</w:t>
      </w:r>
    </w:p>
    <w:p w:rsidR="003300A5" w:rsidRPr="003300A5" w:rsidRDefault="003300A5" w:rsidP="003300A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3300A5" w:rsidRPr="0038266E" w:rsidRDefault="00DC31A4" w:rsidP="0038266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color w:val="1F497D" w:themeColor="text2"/>
          <w:sz w:val="18"/>
          <w:szCs w:val="18"/>
        </w:rPr>
        <w:t>Art. 1.</w:t>
      </w:r>
    </w:p>
    <w:p w:rsidR="00672039" w:rsidRDefault="00672039" w:rsidP="0067203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 w:rsidR="00694F8E">
        <w:rPr>
          <w:rFonts w:ascii="Verdana" w:hAnsi="Verdana"/>
          <w:sz w:val="18"/>
          <w:szCs w:val="18"/>
        </w:rPr>
        <w:t>-10.</w:t>
      </w:r>
      <w:r w:rsidR="003300A5">
        <w:rPr>
          <w:rFonts w:ascii="Verdana" w:hAnsi="Verdana"/>
          <w:sz w:val="18"/>
          <w:szCs w:val="18"/>
        </w:rPr>
        <w:tab/>
      </w:r>
      <w:r w:rsidR="00694F8E" w:rsidRPr="00694F8E">
        <w:rPr>
          <w:rFonts w:ascii="Verdana" w:hAnsi="Verdana"/>
          <w:i/>
          <w:sz w:val="18"/>
          <w:szCs w:val="18"/>
        </w:rPr>
        <w:t>Omissis</w:t>
      </w:r>
      <w:r w:rsidRPr="00672039">
        <w:rPr>
          <w:rFonts w:ascii="Verdana" w:hAnsi="Verdana"/>
          <w:sz w:val="18"/>
          <w:szCs w:val="18"/>
        </w:rPr>
        <w:t xml:space="preserve"> </w:t>
      </w:r>
    </w:p>
    <w:p w:rsidR="00672039" w:rsidRDefault="00694F8E" w:rsidP="00694F8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</w:t>
      </w:r>
      <w:r w:rsidR="00672039" w:rsidRPr="00672039">
        <w:rPr>
          <w:rFonts w:ascii="Verdana" w:hAnsi="Verdana"/>
          <w:sz w:val="18"/>
          <w:szCs w:val="18"/>
        </w:rPr>
        <w:t>.</w:t>
      </w:r>
      <w:r w:rsidR="00672039">
        <w:rPr>
          <w:rFonts w:ascii="Verdana" w:hAnsi="Verdana"/>
          <w:sz w:val="18"/>
          <w:szCs w:val="18"/>
        </w:rPr>
        <w:tab/>
      </w:r>
      <w:r w:rsidRPr="00694F8E">
        <w:rPr>
          <w:rFonts w:ascii="Verdana" w:hAnsi="Verdana"/>
          <w:sz w:val="18"/>
          <w:szCs w:val="18"/>
        </w:rPr>
        <w:t>Con l'elargizione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contributi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in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denaro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complessivamente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superiori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nell'anno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euro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500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per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soggetto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erogatore,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prestazioni o altre forme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sostegno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valore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equivalente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per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soggetto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erogatore,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partiti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movimenti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politici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cui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all'articolo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18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decreto-legge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28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dicembre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2013,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n.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149,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convertito, con modificazioni, dalla legge 21 febbraio 2014,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n.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13,</w:t>
      </w:r>
      <w:r w:rsidR="0060482F">
        <w:rPr>
          <w:rFonts w:ascii="Verdana" w:hAnsi="Verdana"/>
          <w:sz w:val="18"/>
          <w:szCs w:val="18"/>
        </w:rPr>
        <w:t xml:space="preserve"> nonché</w:t>
      </w:r>
      <w:r w:rsidRPr="00694F8E">
        <w:rPr>
          <w:rFonts w:ascii="Verdana" w:hAnsi="Verdana"/>
          <w:sz w:val="18"/>
          <w:szCs w:val="18"/>
        </w:rPr>
        <w:t xml:space="preserve"> alle liste e ai candidati alla carica di sindaco partecipanti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alle elezioni amministrative nei comuni con popolazione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superiore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15.000 abitanti, s'intende prestato il consenso alla pubblicit</w:t>
      </w:r>
      <w:r w:rsidR="0060482F">
        <w:rPr>
          <w:rFonts w:ascii="Verdana" w:hAnsi="Verdana"/>
          <w:sz w:val="18"/>
          <w:szCs w:val="18"/>
        </w:rPr>
        <w:t xml:space="preserve">à </w:t>
      </w:r>
      <w:r w:rsidRPr="00694F8E">
        <w:rPr>
          <w:rFonts w:ascii="Verdana" w:hAnsi="Verdana"/>
          <w:sz w:val="18"/>
          <w:szCs w:val="18"/>
        </w:rPr>
        <w:t>dei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dati da parte dei predetti soggetti e</w:t>
      </w:r>
      <w:r w:rsidR="0060482F">
        <w:rPr>
          <w:rFonts w:ascii="Verdana" w:hAnsi="Verdana"/>
          <w:sz w:val="18"/>
          <w:szCs w:val="18"/>
        </w:rPr>
        <w:t xml:space="preserve">rogatori. È </w:t>
      </w:r>
      <w:r w:rsidRPr="00694F8E">
        <w:rPr>
          <w:rFonts w:ascii="Verdana" w:hAnsi="Verdana"/>
          <w:sz w:val="18"/>
          <w:szCs w:val="18"/>
        </w:rPr>
        <w:t>fatto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divieto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partiti o movimenti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politici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ricevere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contributi,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prestazioni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gratuite o altre forme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sostegno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carattere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patrimoniale,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in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qualsiasi modo erogati, ivi compresa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la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messa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disposizione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con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carattere di stabilit</w:t>
      </w:r>
      <w:r w:rsidR="0060482F">
        <w:rPr>
          <w:rFonts w:ascii="Verdana" w:hAnsi="Verdana"/>
          <w:sz w:val="18"/>
          <w:szCs w:val="18"/>
        </w:rPr>
        <w:t>à</w:t>
      </w:r>
      <w:r w:rsidRPr="00694F8E">
        <w:rPr>
          <w:rFonts w:ascii="Verdana" w:hAnsi="Verdana"/>
          <w:sz w:val="18"/>
          <w:szCs w:val="18"/>
        </w:rPr>
        <w:t xml:space="preserve"> di servizi a titolo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gratuito,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parte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persone fisiche o enti che si dichiarino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contrari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alla</w:t>
      </w:r>
      <w:r w:rsidR="0060482F">
        <w:rPr>
          <w:rFonts w:ascii="Verdana" w:hAnsi="Verdana"/>
          <w:sz w:val="18"/>
          <w:szCs w:val="18"/>
        </w:rPr>
        <w:t xml:space="preserve"> pubblicità </w:t>
      </w:r>
      <w:r w:rsidRPr="00694F8E">
        <w:rPr>
          <w:rFonts w:ascii="Verdana" w:hAnsi="Verdana"/>
          <w:sz w:val="18"/>
          <w:szCs w:val="18"/>
        </w:rPr>
        <w:t>dei relativi dati. Per i contributi, le prestazioni o altre forme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sostegno di cui al primo periodo sono annotati, entro il mese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solare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successivo a quello di percezione,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in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apposito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registro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custodito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presso la sede legale del partito o movimento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politico,</w:t>
      </w:r>
      <w:r w:rsidR="0060482F">
        <w:rPr>
          <w:rFonts w:ascii="Verdana" w:hAnsi="Verdana"/>
          <w:sz w:val="18"/>
          <w:szCs w:val="18"/>
        </w:rPr>
        <w:t xml:space="preserve"> l'identità dell'erogante, l'entità</w:t>
      </w:r>
      <w:r w:rsidRPr="00694F8E">
        <w:rPr>
          <w:rFonts w:ascii="Verdana" w:hAnsi="Verdana"/>
          <w:sz w:val="18"/>
          <w:szCs w:val="18"/>
        </w:rPr>
        <w:t xml:space="preserve"> del contributo o il valore della prestazione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o della diversa forma di sostegno e la data dell'erogazione. In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caso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 scioglimento anche di una sola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Camera,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il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termine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indicato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 xml:space="preserve">terzo periodo </w:t>
      </w:r>
      <w:r w:rsidR="0060482F">
        <w:rPr>
          <w:rFonts w:ascii="Verdana" w:hAnsi="Verdana"/>
          <w:sz w:val="18"/>
          <w:szCs w:val="18"/>
        </w:rPr>
        <w:t>è</w:t>
      </w:r>
      <w:r w:rsidRPr="00694F8E">
        <w:rPr>
          <w:rFonts w:ascii="Verdana" w:hAnsi="Verdana"/>
          <w:sz w:val="18"/>
          <w:szCs w:val="18"/>
        </w:rPr>
        <w:t xml:space="preserve"> ridotto 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quindici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giorni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decorrenti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dalla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data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dello scioglimento e in ogni caso l'annotazione deve essere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eseguita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entro il mese solare successivo a quello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percezione.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Entro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gli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stessi termini di cui al terzo e al quarto periodo, 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dati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annotati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devono risultare dal rendiconto di cui all'articolo 8 della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legge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2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gennaio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1997,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n.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2,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ed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essere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pubblicati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nel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sito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internet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istituzionale del partito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movimento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politico,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ovvero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nel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sito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internet della lista o del candidato di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cui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primo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periodo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presente comma, per un tempo non inferiore a cinque anni. Sono esenti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dall'applicazione delle disposizioni del presente comma le</w:t>
      </w:r>
      <w:r w:rsidR="0060482F">
        <w:rPr>
          <w:rFonts w:ascii="Verdana" w:hAnsi="Verdana"/>
          <w:sz w:val="18"/>
          <w:szCs w:val="18"/>
        </w:rPr>
        <w:t xml:space="preserve"> attività </w:t>
      </w:r>
      <w:r w:rsidRPr="00694F8E">
        <w:rPr>
          <w:rFonts w:ascii="Verdana" w:hAnsi="Verdana"/>
          <w:sz w:val="18"/>
          <w:szCs w:val="18"/>
        </w:rPr>
        <w:t>a contenuto non commerciale, professionale o di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lavoro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autonomo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sostegno volontario all'organizzazione e alle iniziative del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partito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movimento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politico,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fermo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restando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per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tutte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le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elargizioni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l'obbligo di rilasciarne ricevuta, la cui matrice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viene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conservata,</w:t>
      </w:r>
      <w:r w:rsidR="0060482F">
        <w:rPr>
          <w:rFonts w:ascii="Verdana" w:hAnsi="Verdana"/>
          <w:sz w:val="18"/>
          <w:szCs w:val="18"/>
        </w:rPr>
        <w:t xml:space="preserve"> per finalità</w:t>
      </w:r>
      <w:r w:rsidRPr="00694F8E">
        <w:rPr>
          <w:rFonts w:ascii="Verdana" w:hAnsi="Verdana"/>
          <w:sz w:val="18"/>
          <w:szCs w:val="18"/>
        </w:rPr>
        <w:t xml:space="preserve"> di computo della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complessiva</w:t>
      </w:r>
      <w:r w:rsidR="0060482F">
        <w:rPr>
          <w:rFonts w:ascii="Verdana" w:hAnsi="Verdana"/>
          <w:sz w:val="18"/>
          <w:szCs w:val="18"/>
        </w:rPr>
        <w:t xml:space="preserve"> entità </w:t>
      </w:r>
      <w:r w:rsidRPr="00694F8E">
        <w:rPr>
          <w:rFonts w:ascii="Verdana" w:hAnsi="Verdana"/>
          <w:sz w:val="18"/>
          <w:szCs w:val="18"/>
        </w:rPr>
        <w:t>dei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contributi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riscossi dal partito o movimento politico.</w:t>
      </w:r>
      <w:r w:rsidR="00672039" w:rsidRPr="00672039">
        <w:rPr>
          <w:rFonts w:ascii="Verdana" w:hAnsi="Verdana"/>
          <w:sz w:val="18"/>
          <w:szCs w:val="18"/>
        </w:rPr>
        <w:t xml:space="preserve"> </w:t>
      </w:r>
    </w:p>
    <w:p w:rsidR="00672039" w:rsidRDefault="00694F8E" w:rsidP="00694F8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</w:t>
      </w:r>
      <w:r w:rsidR="00672039" w:rsidRPr="00672039">
        <w:rPr>
          <w:rFonts w:ascii="Verdana" w:hAnsi="Verdana"/>
          <w:sz w:val="18"/>
          <w:szCs w:val="18"/>
        </w:rPr>
        <w:t>.</w:t>
      </w:r>
      <w:r w:rsidR="00672039">
        <w:rPr>
          <w:rFonts w:ascii="Verdana" w:hAnsi="Verdana"/>
          <w:sz w:val="18"/>
          <w:szCs w:val="18"/>
        </w:rPr>
        <w:tab/>
      </w:r>
      <w:r w:rsidRPr="00694F8E">
        <w:rPr>
          <w:rFonts w:ascii="Verdana" w:hAnsi="Verdana"/>
          <w:sz w:val="18"/>
          <w:szCs w:val="18"/>
        </w:rPr>
        <w:t>Ai partiti e ai movimenti politici e alle liste di cui al comma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11,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primo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periodo,</w:t>
      </w:r>
      <w:r w:rsidR="0060482F">
        <w:rPr>
          <w:rFonts w:ascii="Verdana" w:hAnsi="Verdana"/>
          <w:sz w:val="18"/>
          <w:szCs w:val="18"/>
        </w:rPr>
        <w:t xml:space="preserve"> è </w:t>
      </w:r>
      <w:r w:rsidRPr="00694F8E">
        <w:rPr>
          <w:rFonts w:ascii="Verdana" w:hAnsi="Verdana"/>
          <w:sz w:val="18"/>
          <w:szCs w:val="18"/>
        </w:rPr>
        <w:t>fatto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divieto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ricevere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contributi,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prestazioni o altre forme di sostegno provenienti da governi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enti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pubblici di Stati esteri e da persone giuridiche aventi sede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in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uno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 xml:space="preserve">Stato estero non assoggettate a obblighi fiscali in Italia. </w:t>
      </w:r>
      <w:r w:rsidR="0060482F">
        <w:rPr>
          <w:rFonts w:ascii="Verdana" w:hAnsi="Verdana"/>
          <w:sz w:val="18"/>
          <w:szCs w:val="18"/>
        </w:rPr>
        <w:t xml:space="preserve">È </w:t>
      </w:r>
      <w:r w:rsidRPr="00694F8E">
        <w:rPr>
          <w:rFonts w:ascii="Verdana" w:hAnsi="Verdana"/>
          <w:sz w:val="18"/>
          <w:szCs w:val="18"/>
        </w:rPr>
        <w:t>fatto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divieto alle persone fisiche maggiorenni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non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iscritte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nelle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liste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elettorali o private del diritto di voto di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elargire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contributi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partiti o movime</w:t>
      </w:r>
      <w:bookmarkStart w:id="0" w:name="_GoBack"/>
      <w:bookmarkEnd w:id="0"/>
      <w:r w:rsidRPr="00694F8E">
        <w:rPr>
          <w:rFonts w:ascii="Verdana" w:hAnsi="Verdana"/>
          <w:sz w:val="18"/>
          <w:szCs w:val="18"/>
        </w:rPr>
        <w:t>nti politici ovvero alle liste di cui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comma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11,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primo periodo.</w:t>
      </w:r>
      <w:r w:rsidR="00672039" w:rsidRPr="00672039">
        <w:rPr>
          <w:rFonts w:ascii="Verdana" w:hAnsi="Verdana"/>
          <w:sz w:val="18"/>
          <w:szCs w:val="18"/>
        </w:rPr>
        <w:t xml:space="preserve"> </w:t>
      </w:r>
    </w:p>
    <w:p w:rsidR="00672039" w:rsidRDefault="00694F8E" w:rsidP="00694F8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13</w:t>
      </w:r>
      <w:r w:rsidR="00672039" w:rsidRPr="00672039">
        <w:rPr>
          <w:rFonts w:ascii="Verdana" w:hAnsi="Verdana"/>
          <w:sz w:val="18"/>
          <w:szCs w:val="18"/>
        </w:rPr>
        <w:t>.</w:t>
      </w:r>
      <w:r w:rsidR="00672039">
        <w:rPr>
          <w:rFonts w:ascii="Verdana" w:hAnsi="Verdana"/>
          <w:sz w:val="18"/>
          <w:szCs w:val="18"/>
        </w:rPr>
        <w:tab/>
      </w:r>
      <w:r w:rsidRPr="00694F8E">
        <w:rPr>
          <w:rFonts w:ascii="Verdana" w:hAnsi="Verdana"/>
          <w:sz w:val="18"/>
          <w:szCs w:val="18"/>
        </w:rPr>
        <w:t>I contributi ricevuti in violazione dei divieti di cui ai commi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11 e 12 o in assenza degli adempimenti previsti dal terzo, dal quarto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 dal quinto periodo del comma 11 non sono ripetibili e sono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versati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alla cassa delle ammende, di cui all'articolo 4 della legge 9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maggio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1932, n. 547, entro dieci giorni dalla scadenza dei termini di cui ai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predetti periodi del comma 11.</w:t>
      </w:r>
      <w:r w:rsidR="00672039" w:rsidRPr="00672039">
        <w:rPr>
          <w:rFonts w:ascii="Verdana" w:hAnsi="Verdana"/>
          <w:sz w:val="18"/>
          <w:szCs w:val="18"/>
        </w:rPr>
        <w:t xml:space="preserve"> </w:t>
      </w:r>
    </w:p>
    <w:p w:rsidR="00672039" w:rsidRDefault="00694F8E" w:rsidP="00694F8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</w:t>
      </w:r>
      <w:r w:rsidR="00672039" w:rsidRPr="00672039">
        <w:rPr>
          <w:rFonts w:ascii="Verdana" w:hAnsi="Verdana"/>
          <w:sz w:val="18"/>
          <w:szCs w:val="18"/>
        </w:rPr>
        <w:t>.</w:t>
      </w:r>
      <w:r w:rsidR="00672039">
        <w:rPr>
          <w:rFonts w:ascii="Verdana" w:hAnsi="Verdana"/>
          <w:sz w:val="18"/>
          <w:szCs w:val="18"/>
        </w:rPr>
        <w:tab/>
      </w:r>
      <w:r w:rsidRPr="00694F8E">
        <w:rPr>
          <w:rFonts w:ascii="Verdana" w:hAnsi="Verdana"/>
          <w:sz w:val="18"/>
          <w:szCs w:val="18"/>
        </w:rPr>
        <w:t>Entro il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quattordicesimo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giorno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antecedente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la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data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delle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competizioni elettorali di qualunque genere, escluse quelle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relative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 comuni con meno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15.000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abitanti,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partiti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movimenti</w:t>
      </w:r>
      <w:r w:rsidR="0060482F">
        <w:rPr>
          <w:rFonts w:ascii="Verdana" w:hAnsi="Verdana"/>
          <w:sz w:val="18"/>
          <w:szCs w:val="18"/>
        </w:rPr>
        <w:t xml:space="preserve"> politici, nonché</w:t>
      </w:r>
      <w:r w:rsidRPr="00694F8E">
        <w:rPr>
          <w:rFonts w:ascii="Verdana" w:hAnsi="Verdana"/>
          <w:sz w:val="18"/>
          <w:szCs w:val="18"/>
        </w:rPr>
        <w:t xml:space="preserve"> le liste di cui al comma 11, primo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periodo,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hanno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l'obbligo di pubblicare nel proprio sito internet il curriculum vitae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fornito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dai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loro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candidati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il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relativo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certificato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penale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rilasciato dal casellario giudiziale non oltre novanta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giorni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prima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della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data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fissata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per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la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consultazione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elettorale.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fini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dell'ottemperanza agli obblighi di pubblicazione nel sito internet di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 xml:space="preserve">cui al presente comma non </w:t>
      </w:r>
      <w:r w:rsidR="0060482F">
        <w:rPr>
          <w:rFonts w:ascii="Verdana" w:hAnsi="Verdana"/>
          <w:sz w:val="18"/>
          <w:szCs w:val="18"/>
        </w:rPr>
        <w:t>è</w:t>
      </w:r>
      <w:r w:rsidRPr="00694F8E">
        <w:rPr>
          <w:rFonts w:ascii="Verdana" w:hAnsi="Verdana"/>
          <w:sz w:val="18"/>
          <w:szCs w:val="18"/>
        </w:rPr>
        <w:t xml:space="preserve"> richiesto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il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consenso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espresso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degli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interessati. Nel caso in cui il certificato penale sia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richiesto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coloro che intendono candidarsi alle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elezioni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cui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presente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comma, per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le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quali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sono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stati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convocati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comizi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elettorali,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dichiarando contestualmente,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sotto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la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propria</w:t>
      </w:r>
      <w:r w:rsidR="0060482F">
        <w:rPr>
          <w:rFonts w:ascii="Verdana" w:hAnsi="Verdana"/>
          <w:sz w:val="18"/>
          <w:szCs w:val="18"/>
        </w:rPr>
        <w:t xml:space="preserve"> responsabilità </w:t>
      </w:r>
      <w:r w:rsidRPr="00694F8E">
        <w:rPr>
          <w:rFonts w:ascii="Verdana" w:hAnsi="Verdana"/>
          <w:sz w:val="18"/>
          <w:szCs w:val="18"/>
        </w:rPr>
        <w:t>ai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sensi dell'articolo 47 del testo unico delle disposizioni legislative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 regolamentari in materia di documentazione amministrativa,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cui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al decreto del Presidente della Repubblica 28 dicembre 2000, n.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445,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che la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richiesta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tali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certificati</w:t>
      </w:r>
      <w:r w:rsidR="0060482F">
        <w:rPr>
          <w:rFonts w:ascii="Verdana" w:hAnsi="Verdana"/>
          <w:sz w:val="18"/>
          <w:szCs w:val="18"/>
        </w:rPr>
        <w:t xml:space="preserve"> è </w:t>
      </w:r>
      <w:r w:rsidRPr="00694F8E">
        <w:rPr>
          <w:rFonts w:ascii="Verdana" w:hAnsi="Verdana"/>
          <w:sz w:val="18"/>
          <w:szCs w:val="18"/>
        </w:rPr>
        <w:t>finalizzata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rendere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pubblici i dati ivi contenuti in occasione della propria candidatura,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le imposte di bollo e ogni altra spesa, imposta e diritto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dovuti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pubblici uffici sono ridotti dell</w:t>
      </w:r>
      <w:r w:rsidR="0060482F">
        <w:rPr>
          <w:rFonts w:ascii="Verdana" w:hAnsi="Verdana"/>
          <w:sz w:val="18"/>
          <w:szCs w:val="18"/>
        </w:rPr>
        <w:t>a metà</w:t>
      </w:r>
      <w:r w:rsidRPr="00694F8E">
        <w:rPr>
          <w:rFonts w:ascii="Verdana" w:hAnsi="Verdana"/>
          <w:sz w:val="18"/>
          <w:szCs w:val="18"/>
        </w:rPr>
        <w:t>.</w:t>
      </w:r>
      <w:r w:rsidR="00672039" w:rsidRPr="00672039">
        <w:rPr>
          <w:rFonts w:ascii="Verdana" w:hAnsi="Verdana"/>
          <w:sz w:val="18"/>
          <w:szCs w:val="18"/>
        </w:rPr>
        <w:t xml:space="preserve"> </w:t>
      </w:r>
    </w:p>
    <w:p w:rsidR="00672039" w:rsidRDefault="00694F8E" w:rsidP="00694F8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15</w:t>
      </w:r>
      <w:r w:rsidR="00672039" w:rsidRPr="00672039">
        <w:rPr>
          <w:rFonts w:ascii="Verdana" w:hAnsi="Verdana"/>
          <w:sz w:val="18"/>
          <w:szCs w:val="18"/>
        </w:rPr>
        <w:t>.</w:t>
      </w:r>
      <w:r w:rsidR="00672039">
        <w:rPr>
          <w:rFonts w:ascii="Verdana" w:hAnsi="Verdana"/>
          <w:sz w:val="18"/>
          <w:szCs w:val="18"/>
        </w:rPr>
        <w:tab/>
      </w:r>
      <w:r w:rsidRPr="00694F8E">
        <w:rPr>
          <w:rFonts w:ascii="Verdana" w:hAnsi="Verdana"/>
          <w:sz w:val="18"/>
          <w:szCs w:val="18"/>
        </w:rPr>
        <w:t>In apposita sezione,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denominata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«Elezioni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trasparenti»,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sito internet dell'ente cui si riferisce la consultazione elettorale,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ovvero del Ministero dell'interno in caso di elezioni del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Parlamento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nazionale o dei membri del Parlamento europeo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spettanti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all'Italia,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entro il settimo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giorno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antecedente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la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data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della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consultazione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elettorale, per ciascuna lista o candidato ad essa collegato</w:t>
      </w:r>
      <w:r w:rsidR="0060482F">
        <w:rPr>
          <w:rFonts w:ascii="Verdana" w:hAnsi="Verdana"/>
          <w:sz w:val="18"/>
          <w:szCs w:val="18"/>
        </w:rPr>
        <w:t xml:space="preserve"> nonché </w:t>
      </w:r>
      <w:r w:rsidRPr="00694F8E">
        <w:rPr>
          <w:rFonts w:ascii="Verdana" w:hAnsi="Verdana"/>
          <w:sz w:val="18"/>
          <w:szCs w:val="18"/>
        </w:rPr>
        <w:t>per ciascun partito o movimento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politico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che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presentino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candidati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alle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elezioni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cui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comma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14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sono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pubblicati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in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maniera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facilmente accessibile il curriculum vitae 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il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certificato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penale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dei candidati rilasciato dal casellario giudiziale non oltre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novanta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giorni prima della d</w:t>
      </w:r>
      <w:r w:rsidR="0060482F">
        <w:rPr>
          <w:rFonts w:ascii="Verdana" w:hAnsi="Verdana"/>
          <w:sz w:val="18"/>
          <w:szCs w:val="18"/>
        </w:rPr>
        <w:t xml:space="preserve">ata fissata per l'elezione, già </w:t>
      </w:r>
      <w:r w:rsidRPr="00694F8E">
        <w:rPr>
          <w:rFonts w:ascii="Verdana" w:hAnsi="Verdana"/>
          <w:sz w:val="18"/>
          <w:szCs w:val="18"/>
        </w:rPr>
        <w:t>pubblicati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nel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sito internet del partito o movimento politico ovvero della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lista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del candidato con essa collegato di cui al comma 11,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primo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periodo,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previamente comunicati agli enti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cui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presente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periodo.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La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pubblicazione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deve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consentire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all'elettore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accedere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alle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informazioni ivi riportate attraverso la ricerca per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circoscrizione,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collegio, partito e per cognome e nome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singolo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candidato.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Con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decreto del Ministro dell'interno, da emanare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entro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novanta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giorni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dalla data di entrata in vigore della presente legge,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sono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definite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le</w:t>
      </w:r>
      <w:r w:rsidR="0060482F">
        <w:rPr>
          <w:rFonts w:ascii="Verdana" w:hAnsi="Verdana"/>
          <w:sz w:val="18"/>
          <w:szCs w:val="18"/>
        </w:rPr>
        <w:t xml:space="preserve"> modalità </w:t>
      </w:r>
      <w:r w:rsidRPr="00694F8E">
        <w:rPr>
          <w:rFonts w:ascii="Verdana" w:hAnsi="Verdana"/>
          <w:sz w:val="18"/>
          <w:szCs w:val="18"/>
        </w:rPr>
        <w:t>tecniche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acquisizione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dati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su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apposita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piattaforma informatica.</w:t>
      </w:r>
      <w:r w:rsidR="00672039" w:rsidRPr="00672039">
        <w:rPr>
          <w:rFonts w:ascii="Verdana" w:hAnsi="Verdana"/>
          <w:sz w:val="18"/>
          <w:szCs w:val="18"/>
        </w:rPr>
        <w:t xml:space="preserve"> </w:t>
      </w:r>
    </w:p>
    <w:p w:rsidR="00672039" w:rsidRDefault="00694F8E" w:rsidP="00694F8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16</w:t>
      </w:r>
      <w:r w:rsidR="00672039" w:rsidRPr="00672039">
        <w:rPr>
          <w:rFonts w:ascii="Verdana" w:hAnsi="Verdana"/>
          <w:sz w:val="18"/>
          <w:szCs w:val="18"/>
        </w:rPr>
        <w:t>.</w:t>
      </w:r>
      <w:r w:rsidR="00672039">
        <w:rPr>
          <w:rFonts w:ascii="Verdana" w:hAnsi="Verdana"/>
          <w:sz w:val="18"/>
          <w:szCs w:val="18"/>
        </w:rPr>
        <w:tab/>
      </w:r>
      <w:r w:rsidRPr="00694F8E">
        <w:rPr>
          <w:rFonts w:ascii="Verdana" w:hAnsi="Verdana"/>
          <w:sz w:val="18"/>
          <w:szCs w:val="18"/>
        </w:rPr>
        <w:t>I partiti e 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movimenti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politici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trasmettono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annualmente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rendiconti di cui all'articolo 8 della legge 2 gennaio 1997, n. 2,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i relativi allegati, corredati della certificazione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giudizio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del revisore legale, redatti ai sensi della normativa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vigente,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alla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Commissione per la trasparenza 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il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controllo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rendiconti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partiti e dei movimenti politici, di cui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all'articolo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9,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comma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3,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della legge 6 luglio 2012, n. 96.</w:t>
      </w:r>
      <w:r w:rsidR="00672039" w:rsidRPr="00672039">
        <w:rPr>
          <w:rFonts w:ascii="Verdana" w:hAnsi="Verdana"/>
          <w:sz w:val="18"/>
          <w:szCs w:val="18"/>
        </w:rPr>
        <w:t xml:space="preserve"> </w:t>
      </w:r>
    </w:p>
    <w:p w:rsidR="00694F8E" w:rsidRDefault="00694F8E" w:rsidP="0060482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17</w:t>
      </w:r>
      <w:r w:rsidRPr="00672039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-20. </w:t>
      </w:r>
      <w:r w:rsidRPr="00694F8E">
        <w:rPr>
          <w:rFonts w:ascii="Verdana" w:hAnsi="Verdana"/>
          <w:i/>
          <w:sz w:val="18"/>
          <w:szCs w:val="18"/>
        </w:rPr>
        <w:t>Omissis</w:t>
      </w:r>
    </w:p>
    <w:p w:rsidR="00672039" w:rsidRDefault="00694F8E" w:rsidP="00694F8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21</w:t>
      </w:r>
      <w:r w:rsidR="00672039" w:rsidRPr="00672039">
        <w:rPr>
          <w:rFonts w:ascii="Verdana" w:hAnsi="Verdana"/>
          <w:sz w:val="18"/>
          <w:szCs w:val="18"/>
        </w:rPr>
        <w:t>.</w:t>
      </w:r>
      <w:r w:rsidR="00672039">
        <w:rPr>
          <w:rFonts w:ascii="Verdana" w:hAnsi="Verdana"/>
          <w:sz w:val="18"/>
          <w:szCs w:val="18"/>
        </w:rPr>
        <w:tab/>
      </w:r>
      <w:r w:rsidRPr="00694F8E">
        <w:rPr>
          <w:rFonts w:ascii="Verdana" w:hAnsi="Verdana"/>
          <w:sz w:val="18"/>
          <w:szCs w:val="18"/>
        </w:rPr>
        <w:t>Al partito o al movimento politico che viola i divieti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cui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commi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11,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secondo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periodo,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12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presente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articolo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la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Commissione per la trasparenza 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il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controllo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rendiconti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partiti e dei movimenti politici, di cui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all'articolo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9,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comma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3,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della legge 6 luglio 2012, n. 96, applica la sanzione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amministrativa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pecuniaria di importo non inferiore al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triplo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non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superiore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quintuplo del valore dei contributi, delle prestazioni o delle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altre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forme di sostegno a carattere patrimoniale ricevuti.</w:t>
      </w:r>
      <w:r w:rsidR="00672039" w:rsidRPr="00672039">
        <w:rPr>
          <w:rFonts w:ascii="Verdana" w:hAnsi="Verdana"/>
          <w:sz w:val="18"/>
          <w:szCs w:val="18"/>
        </w:rPr>
        <w:t xml:space="preserve"> </w:t>
      </w:r>
    </w:p>
    <w:p w:rsidR="00672039" w:rsidRDefault="00694F8E" w:rsidP="00694F8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22</w:t>
      </w:r>
      <w:r w:rsidR="00672039" w:rsidRPr="00672039">
        <w:rPr>
          <w:rFonts w:ascii="Verdana" w:hAnsi="Verdana"/>
          <w:sz w:val="18"/>
          <w:szCs w:val="18"/>
        </w:rPr>
        <w:t>.</w:t>
      </w:r>
      <w:r w:rsidR="00672039">
        <w:rPr>
          <w:rFonts w:ascii="Verdana" w:hAnsi="Verdana"/>
          <w:sz w:val="18"/>
          <w:szCs w:val="18"/>
        </w:rPr>
        <w:tab/>
      </w:r>
      <w:r w:rsidRPr="00694F8E">
        <w:rPr>
          <w:rFonts w:ascii="Verdana" w:hAnsi="Verdana"/>
          <w:sz w:val="18"/>
          <w:szCs w:val="18"/>
        </w:rPr>
        <w:t>Al partito o al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movimento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politico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che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viola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gli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obblighi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previsti dai commi 11, terzo, quarto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quinto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periodo,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13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presente articolo la Commissione per la trasparenza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il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controllo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rendiconti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partiti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movimenti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politici,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cui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 xml:space="preserve">all'articolo 9, comma 3, della </w:t>
      </w:r>
      <w:r w:rsidRPr="00694F8E">
        <w:rPr>
          <w:rFonts w:ascii="Verdana" w:hAnsi="Verdana"/>
          <w:sz w:val="18"/>
          <w:szCs w:val="18"/>
        </w:rPr>
        <w:lastRenderedPageBreak/>
        <w:t>legge 6 luglio 2012, n. 96, applica la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sanzione amministrativa pecuniaria di importo non inferiore al triplo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 non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superiore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quintuplo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valore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contributi,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delle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prestazioni o delle altre forme di sostegno a carattere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patrimoniale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non annotati o non versati. Nei casi di cui al periodo precedente, se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gli obblighi sono adempiuti con un ritardo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non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superiore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trenta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giorni, si applica la sanzione amministrativa pecuniaria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importo</w:t>
      </w:r>
      <w:r w:rsidR="0060482F">
        <w:rPr>
          <w:rFonts w:ascii="Verdana" w:hAnsi="Verdana"/>
          <w:sz w:val="18"/>
          <w:szCs w:val="18"/>
        </w:rPr>
        <w:t xml:space="preserve"> non inferiore alla metà</w:t>
      </w:r>
      <w:r w:rsidRPr="00694F8E">
        <w:rPr>
          <w:rFonts w:ascii="Verdana" w:hAnsi="Verdana"/>
          <w:sz w:val="18"/>
          <w:szCs w:val="18"/>
        </w:rPr>
        <w:t xml:space="preserve"> e non superiore al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doppio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valore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contributi, delle prestazioni 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delle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altre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forme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sostegno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carattere patrimoniale tardivamente annotati o versati.</w:t>
      </w:r>
      <w:r w:rsidR="00672039" w:rsidRPr="00672039">
        <w:rPr>
          <w:rFonts w:ascii="Verdana" w:hAnsi="Verdana"/>
          <w:sz w:val="18"/>
          <w:szCs w:val="18"/>
        </w:rPr>
        <w:t xml:space="preserve"> </w:t>
      </w:r>
    </w:p>
    <w:p w:rsidR="00672039" w:rsidRDefault="00694F8E" w:rsidP="00694F8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23</w:t>
      </w:r>
      <w:r w:rsidR="00672039" w:rsidRPr="00672039">
        <w:rPr>
          <w:rFonts w:ascii="Verdana" w:hAnsi="Verdana"/>
          <w:sz w:val="18"/>
          <w:szCs w:val="18"/>
        </w:rPr>
        <w:t>.</w:t>
      </w:r>
      <w:r w:rsidR="00672039">
        <w:rPr>
          <w:rFonts w:ascii="Verdana" w:hAnsi="Verdana"/>
          <w:sz w:val="18"/>
          <w:szCs w:val="18"/>
        </w:rPr>
        <w:tab/>
      </w:r>
      <w:r w:rsidRPr="00694F8E">
        <w:rPr>
          <w:rFonts w:ascii="Verdana" w:hAnsi="Verdana"/>
          <w:sz w:val="18"/>
          <w:szCs w:val="18"/>
        </w:rPr>
        <w:t>Al partito o al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movimento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politico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che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viola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gli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obblighi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previsti dai commi 14 e 16 del presente articolo la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Commissione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per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la trasparenza e il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controllo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rendiconti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partiti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movimenti politici, di cui all'articolo 9, comma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3,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della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legge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6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luglio 2012, n. 96, applica la sanzione amministrativa pecuniaria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euro 12.000 a euro 120.000.</w:t>
      </w:r>
      <w:r w:rsidR="00672039" w:rsidRPr="00672039">
        <w:rPr>
          <w:rFonts w:ascii="Verdana" w:hAnsi="Verdana"/>
          <w:sz w:val="18"/>
          <w:szCs w:val="18"/>
        </w:rPr>
        <w:t xml:space="preserve"> </w:t>
      </w:r>
    </w:p>
    <w:p w:rsidR="00672039" w:rsidRDefault="00694F8E" w:rsidP="00694F8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24</w:t>
      </w:r>
      <w:r w:rsidR="00672039" w:rsidRPr="00672039">
        <w:rPr>
          <w:rFonts w:ascii="Verdana" w:hAnsi="Verdana"/>
          <w:sz w:val="18"/>
          <w:szCs w:val="18"/>
        </w:rPr>
        <w:t>.</w:t>
      </w:r>
      <w:r w:rsidR="00672039">
        <w:rPr>
          <w:rFonts w:ascii="Verdana" w:hAnsi="Verdana"/>
          <w:sz w:val="18"/>
          <w:szCs w:val="18"/>
        </w:rPr>
        <w:tab/>
      </w:r>
      <w:r w:rsidRPr="00694F8E">
        <w:rPr>
          <w:rFonts w:ascii="Verdana" w:hAnsi="Verdana"/>
          <w:sz w:val="18"/>
          <w:szCs w:val="18"/>
        </w:rPr>
        <w:t>Ai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fini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dell'applicazione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delle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sanzioni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amministrative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pecuniarie previste dai commi 21,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22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23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presente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articolo</w:t>
      </w:r>
      <w:r w:rsidR="0060482F">
        <w:rPr>
          <w:rFonts w:ascii="Verdana" w:hAnsi="Verdana"/>
          <w:sz w:val="18"/>
          <w:szCs w:val="18"/>
        </w:rPr>
        <w:t xml:space="preserve"> nonché </w:t>
      </w:r>
      <w:r w:rsidRPr="00694F8E">
        <w:rPr>
          <w:rFonts w:ascii="Verdana" w:hAnsi="Verdana"/>
          <w:sz w:val="18"/>
          <w:szCs w:val="18"/>
        </w:rPr>
        <w:t>ai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fini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della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tutela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giurisdizionale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applicano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le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disposizioni generali contenute nelle sezioni I e II del capo I della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legge 24 novembre 1981, n. 689, salvo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quanto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diversamente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previsto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dall'articolo 9 della legge 6 luglio 2012, n. 96.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Non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applicano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gli articoli 16 e 26 della medesima legge n. 689 del 1981.</w:t>
      </w:r>
      <w:r w:rsidR="00672039" w:rsidRPr="00694F8E">
        <w:rPr>
          <w:rFonts w:ascii="Verdana" w:hAnsi="Verdana"/>
          <w:sz w:val="18"/>
          <w:szCs w:val="18"/>
        </w:rPr>
        <w:t xml:space="preserve"> </w:t>
      </w:r>
    </w:p>
    <w:p w:rsidR="00672039" w:rsidRDefault="00694F8E" w:rsidP="00694F8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25</w:t>
      </w:r>
      <w:r w:rsidR="00672039" w:rsidRPr="00672039">
        <w:rPr>
          <w:rFonts w:ascii="Verdana" w:hAnsi="Verdana"/>
          <w:sz w:val="18"/>
          <w:szCs w:val="18"/>
        </w:rPr>
        <w:t>.</w:t>
      </w:r>
      <w:r w:rsidR="00672039">
        <w:rPr>
          <w:rFonts w:ascii="Verdana" w:hAnsi="Verdana"/>
          <w:sz w:val="18"/>
          <w:szCs w:val="18"/>
        </w:rPr>
        <w:tab/>
      </w:r>
      <w:r w:rsidRPr="00694F8E">
        <w:rPr>
          <w:rFonts w:ascii="Verdana" w:hAnsi="Verdana"/>
          <w:sz w:val="18"/>
          <w:szCs w:val="18"/>
        </w:rPr>
        <w:t>Le somme riscosse in applicazione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delle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sanzioni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cui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commi 21, 22 e 23 del presente articolo sono versate alla cassa delle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ammende, di cui all'articolo 4 della legge 9 maggio 1932, n. 547.</w:t>
      </w:r>
      <w:r w:rsidR="009A644A">
        <w:rPr>
          <w:rFonts w:ascii="Verdana" w:hAnsi="Verdana"/>
          <w:sz w:val="18"/>
          <w:szCs w:val="18"/>
        </w:rPr>
        <w:t xml:space="preserve"> </w:t>
      </w:r>
    </w:p>
    <w:p w:rsidR="00672039" w:rsidRDefault="00694F8E" w:rsidP="00694F8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26</w:t>
      </w:r>
      <w:r w:rsidR="00672039" w:rsidRPr="00672039">
        <w:rPr>
          <w:rFonts w:ascii="Verdana" w:hAnsi="Verdana"/>
          <w:sz w:val="18"/>
          <w:szCs w:val="18"/>
        </w:rPr>
        <w:t>.</w:t>
      </w:r>
      <w:r w:rsidR="00672039">
        <w:rPr>
          <w:rFonts w:ascii="Verdana" w:hAnsi="Verdana"/>
          <w:sz w:val="18"/>
          <w:szCs w:val="18"/>
        </w:rPr>
        <w:tab/>
      </w:r>
      <w:r w:rsidRPr="00694F8E">
        <w:rPr>
          <w:rFonts w:ascii="Verdana" w:hAnsi="Verdana"/>
          <w:sz w:val="18"/>
          <w:szCs w:val="18"/>
        </w:rPr>
        <w:t>A decorrere dalla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data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scioglimento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anche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una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sola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Camera,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la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Commissione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per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la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trasparenza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il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controllo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rendiconti dei partiti e dei movimenti politici, di cui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all'articolo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9, comma 3, della legge 6 luglio 2012, n. 96, siede in permanenza per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la verifica dell'applicazione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delle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disposizioni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introdotte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dalla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presente legge. A tal fine, con atto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congiunto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Presidente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Senato della Repubblica e del Presidente della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Camera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deputati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possono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essere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stabilite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norme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organizzazione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</w:t>
      </w:r>
      <w:r w:rsidR="0060482F">
        <w:rPr>
          <w:rFonts w:ascii="Verdana" w:hAnsi="Verdana"/>
          <w:sz w:val="18"/>
          <w:szCs w:val="18"/>
        </w:rPr>
        <w:t xml:space="preserve"> modalità </w:t>
      </w:r>
      <w:r w:rsidRPr="00694F8E">
        <w:rPr>
          <w:rFonts w:ascii="Verdana" w:hAnsi="Verdana"/>
          <w:sz w:val="18"/>
          <w:szCs w:val="18"/>
        </w:rPr>
        <w:t>operative.</w:t>
      </w:r>
      <w:r w:rsidR="00672039" w:rsidRPr="00672039">
        <w:rPr>
          <w:rFonts w:ascii="Verdana" w:hAnsi="Verdana"/>
          <w:sz w:val="18"/>
          <w:szCs w:val="18"/>
        </w:rPr>
        <w:t xml:space="preserve"> </w:t>
      </w:r>
    </w:p>
    <w:p w:rsidR="00672039" w:rsidRDefault="00694F8E" w:rsidP="00694F8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27</w:t>
      </w:r>
      <w:r w:rsidR="00672039">
        <w:rPr>
          <w:rFonts w:ascii="Verdana" w:hAnsi="Verdana"/>
          <w:sz w:val="18"/>
          <w:szCs w:val="18"/>
        </w:rPr>
        <w:t>.</w:t>
      </w:r>
      <w:r w:rsidR="00672039">
        <w:rPr>
          <w:rFonts w:ascii="Verdana" w:hAnsi="Verdana"/>
          <w:sz w:val="18"/>
          <w:szCs w:val="18"/>
        </w:rPr>
        <w:tab/>
      </w:r>
      <w:r w:rsidRPr="00694F8E">
        <w:rPr>
          <w:rFonts w:ascii="Verdana" w:hAnsi="Verdana"/>
          <w:sz w:val="18"/>
          <w:szCs w:val="18"/>
        </w:rPr>
        <w:t xml:space="preserve">Il Governo </w:t>
      </w:r>
      <w:r w:rsidR="0060482F">
        <w:rPr>
          <w:rFonts w:ascii="Verdana" w:hAnsi="Verdana"/>
          <w:sz w:val="18"/>
          <w:szCs w:val="18"/>
        </w:rPr>
        <w:t>è</w:t>
      </w:r>
      <w:r w:rsidRPr="00694F8E">
        <w:rPr>
          <w:rFonts w:ascii="Verdana" w:hAnsi="Verdana"/>
          <w:sz w:val="18"/>
          <w:szCs w:val="18"/>
        </w:rPr>
        <w:t xml:space="preserve"> delegato ad adottare, entro un anno dalla data di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entrata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in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vigore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della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presente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legge,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previo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parere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delle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Commissioni parlamentari competenti, un decreto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legislativo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recante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un testo unico nel quale, con le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sole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modificazioni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necessarie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coordinamento normativo, sono riunite le disposizioni di cui ai commi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da 11 a 26 e le altre disposizioni legislative vigenti in materia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contributi ai candidati alle elezioni e ai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partiti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movimenti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politici, di rimborso delle spese per le consultazioni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elettorali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</w:t>
      </w:r>
      <w:r w:rsidR="0060482F">
        <w:rPr>
          <w:rFonts w:ascii="Verdana" w:hAnsi="Verdana"/>
          <w:sz w:val="18"/>
          <w:szCs w:val="18"/>
        </w:rPr>
        <w:t xml:space="preserve"> referendarie, nonché</w:t>
      </w:r>
      <w:r w:rsidRPr="00694F8E">
        <w:rPr>
          <w:rFonts w:ascii="Verdana" w:hAnsi="Verdana"/>
          <w:sz w:val="18"/>
          <w:szCs w:val="18"/>
        </w:rPr>
        <w:t xml:space="preserve"> in materia di trasparenza,</w:t>
      </w:r>
      <w:r w:rsidR="0060482F">
        <w:rPr>
          <w:rFonts w:ascii="Verdana" w:hAnsi="Verdana"/>
          <w:sz w:val="18"/>
          <w:szCs w:val="18"/>
        </w:rPr>
        <w:t xml:space="preserve"> democraticità </w:t>
      </w:r>
      <w:r w:rsidRPr="00694F8E">
        <w:rPr>
          <w:rFonts w:ascii="Verdana" w:hAnsi="Verdana"/>
          <w:sz w:val="18"/>
          <w:szCs w:val="18"/>
        </w:rPr>
        <w:t>dei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partiti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disciplina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della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contribuzione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volontaria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della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contribuzione indiretta a loro favore.</w:t>
      </w:r>
      <w:r w:rsidR="00672039" w:rsidRPr="00672039">
        <w:rPr>
          <w:rFonts w:ascii="Verdana" w:hAnsi="Verdana"/>
          <w:sz w:val="18"/>
          <w:szCs w:val="18"/>
        </w:rPr>
        <w:t xml:space="preserve"> </w:t>
      </w:r>
    </w:p>
    <w:p w:rsidR="00672039" w:rsidRDefault="00694F8E" w:rsidP="00694F8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28</w:t>
      </w:r>
      <w:r w:rsidR="00672039" w:rsidRPr="00672039">
        <w:rPr>
          <w:rFonts w:ascii="Verdana" w:hAnsi="Verdana"/>
          <w:sz w:val="18"/>
          <w:szCs w:val="18"/>
        </w:rPr>
        <w:t>.</w:t>
      </w:r>
      <w:r w:rsidR="00672039">
        <w:rPr>
          <w:rFonts w:ascii="Verdana" w:hAnsi="Verdana"/>
          <w:sz w:val="18"/>
          <w:szCs w:val="18"/>
        </w:rPr>
        <w:tab/>
      </w:r>
      <w:r w:rsidRPr="00694F8E">
        <w:rPr>
          <w:rFonts w:ascii="Verdana" w:hAnsi="Verdana"/>
          <w:sz w:val="18"/>
          <w:szCs w:val="18"/>
        </w:rPr>
        <w:t>Ai sensi e per gli effetti delle disposizioni di cui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commi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da 11 a 27 del presente articolo, le fondazioni, le associazioni 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comitati di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cui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all'articolo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5,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comma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4,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decreto-legge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28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dicembre 2013, n. 149, convertito, con modificazioni, dalla legge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21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febbraio 2014, n. 13, come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sostituito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dal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comma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20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presente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articolo,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sono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equiparati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partiti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movimenti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politici,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prescindere dall'iscrizione del partito o movimento politico cui sono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collegati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nel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registro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cui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all'articolo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4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del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medesimo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decreto-legge n. 149 del 2013.</w:t>
      </w:r>
      <w:r w:rsidR="00672039" w:rsidRPr="00672039">
        <w:rPr>
          <w:rFonts w:ascii="Verdana" w:hAnsi="Verdana"/>
          <w:sz w:val="18"/>
          <w:szCs w:val="18"/>
        </w:rPr>
        <w:t xml:space="preserve"> </w:t>
      </w:r>
    </w:p>
    <w:p w:rsidR="00672039" w:rsidRDefault="00694F8E" w:rsidP="00694F8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29</w:t>
      </w:r>
      <w:r w:rsidR="00672039" w:rsidRPr="00672039">
        <w:rPr>
          <w:rFonts w:ascii="Verdana" w:hAnsi="Verdana"/>
          <w:sz w:val="18"/>
          <w:szCs w:val="18"/>
        </w:rPr>
        <w:t>.</w:t>
      </w:r>
      <w:r w:rsidR="00672039">
        <w:rPr>
          <w:rFonts w:ascii="Verdana" w:hAnsi="Verdana"/>
          <w:sz w:val="18"/>
          <w:szCs w:val="18"/>
        </w:rPr>
        <w:tab/>
      </w:r>
      <w:r w:rsidRPr="00694F8E">
        <w:rPr>
          <w:rFonts w:ascii="Verdana" w:hAnsi="Verdana"/>
          <w:sz w:val="18"/>
          <w:szCs w:val="18"/>
        </w:rPr>
        <w:t>Dall'attuazione della presente legge non devono derivare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nuovi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o maggiori oneri a carico della finanza pubblica.</w:t>
      </w:r>
      <w:r w:rsidR="00672039" w:rsidRPr="00672039">
        <w:rPr>
          <w:rFonts w:ascii="Verdana" w:hAnsi="Verdana"/>
          <w:sz w:val="18"/>
          <w:szCs w:val="18"/>
        </w:rPr>
        <w:t xml:space="preserve"> </w:t>
      </w:r>
    </w:p>
    <w:p w:rsidR="00672039" w:rsidRDefault="00694F8E" w:rsidP="0060482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30</w:t>
      </w:r>
      <w:r w:rsidR="00672039" w:rsidRPr="00672039">
        <w:rPr>
          <w:rFonts w:ascii="Verdana" w:hAnsi="Verdana"/>
          <w:sz w:val="18"/>
          <w:szCs w:val="18"/>
        </w:rPr>
        <w:t>.</w:t>
      </w:r>
      <w:r w:rsidR="00672039">
        <w:rPr>
          <w:rFonts w:ascii="Verdana" w:hAnsi="Verdana"/>
          <w:sz w:val="18"/>
          <w:szCs w:val="18"/>
        </w:rPr>
        <w:tab/>
      </w:r>
      <w:r w:rsidRPr="00694F8E">
        <w:rPr>
          <w:rFonts w:ascii="Verdana" w:hAnsi="Verdana"/>
          <w:sz w:val="18"/>
          <w:szCs w:val="18"/>
        </w:rPr>
        <w:t>Le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amministrazioni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competenti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provvedono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alle</w:t>
      </w:r>
      <w:r w:rsidR="0060482F">
        <w:rPr>
          <w:rFonts w:ascii="Verdana" w:hAnsi="Verdana"/>
          <w:sz w:val="18"/>
          <w:szCs w:val="18"/>
        </w:rPr>
        <w:t xml:space="preserve"> attività </w:t>
      </w:r>
      <w:r w:rsidRPr="00694F8E">
        <w:rPr>
          <w:rFonts w:ascii="Verdana" w:hAnsi="Verdana"/>
          <w:sz w:val="18"/>
          <w:szCs w:val="18"/>
        </w:rPr>
        <w:t>previste dalla presente legge con le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risorse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umane,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strumentali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e</w:t>
      </w:r>
      <w:r w:rsidR="0060482F">
        <w:rPr>
          <w:rFonts w:ascii="Verdana" w:hAnsi="Verdana"/>
          <w:sz w:val="18"/>
          <w:szCs w:val="18"/>
        </w:rPr>
        <w:t xml:space="preserve"> </w:t>
      </w:r>
      <w:r w:rsidRPr="00694F8E">
        <w:rPr>
          <w:rFonts w:ascii="Verdana" w:hAnsi="Verdana"/>
          <w:sz w:val="18"/>
          <w:szCs w:val="18"/>
        </w:rPr>
        <w:t>finanziarie disponibili a legislazione vigente.</w:t>
      </w:r>
      <w:r w:rsidR="00672039" w:rsidRPr="00672039">
        <w:rPr>
          <w:rFonts w:ascii="Verdana" w:hAnsi="Verdana"/>
          <w:sz w:val="18"/>
          <w:szCs w:val="18"/>
        </w:rPr>
        <w:t xml:space="preserve"> </w:t>
      </w:r>
    </w:p>
    <w:p w:rsidR="009A644A" w:rsidRDefault="00672039" w:rsidP="009A644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72039">
        <w:rPr>
          <w:rFonts w:ascii="Verdana" w:hAnsi="Verdana"/>
          <w:sz w:val="18"/>
          <w:szCs w:val="18"/>
        </w:rPr>
        <w:t>La presente legge, munit</w:t>
      </w:r>
      <w:r w:rsidR="009A644A">
        <w:rPr>
          <w:rFonts w:ascii="Verdana" w:hAnsi="Verdana"/>
          <w:sz w:val="18"/>
          <w:szCs w:val="18"/>
        </w:rPr>
        <w:t>a del sigillo dello Stato, sarà</w:t>
      </w:r>
      <w:r w:rsidRPr="00672039">
        <w:rPr>
          <w:rFonts w:ascii="Verdana" w:hAnsi="Verdana"/>
          <w:sz w:val="18"/>
          <w:szCs w:val="18"/>
        </w:rPr>
        <w:t xml:space="preserve"> inserita nella Raccolta ufficiale degli atti normativi della Repubblica italiana. </w:t>
      </w:r>
      <w:r w:rsidR="009A644A">
        <w:rPr>
          <w:rFonts w:ascii="Verdana" w:hAnsi="Verdana"/>
          <w:sz w:val="18"/>
          <w:szCs w:val="18"/>
        </w:rPr>
        <w:t xml:space="preserve">È </w:t>
      </w:r>
      <w:r w:rsidRPr="00672039">
        <w:rPr>
          <w:rFonts w:ascii="Verdana" w:hAnsi="Verdana"/>
          <w:sz w:val="18"/>
          <w:szCs w:val="18"/>
        </w:rPr>
        <w:t xml:space="preserve">fatto obbligo a chiunque spetti di osservarla e di farla osservare come legge dello Stato. </w:t>
      </w:r>
    </w:p>
    <w:p w:rsidR="009A644A" w:rsidRDefault="009A644A" w:rsidP="009A644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Data a Roma, addì</w:t>
      </w:r>
      <w:r w:rsidR="00672039" w:rsidRPr="00672039">
        <w:rPr>
          <w:rFonts w:ascii="Verdana" w:hAnsi="Verdana"/>
          <w:sz w:val="18"/>
          <w:szCs w:val="18"/>
        </w:rPr>
        <w:t xml:space="preserve"> </w:t>
      </w:r>
      <w:r w:rsidR="00694F8E">
        <w:rPr>
          <w:rFonts w:ascii="Verdana" w:hAnsi="Verdana"/>
          <w:sz w:val="18"/>
          <w:szCs w:val="18"/>
        </w:rPr>
        <w:t>9</w:t>
      </w:r>
      <w:r w:rsidR="00672039" w:rsidRPr="00672039">
        <w:rPr>
          <w:rFonts w:ascii="Verdana" w:hAnsi="Verdana"/>
          <w:sz w:val="18"/>
          <w:szCs w:val="18"/>
        </w:rPr>
        <w:t xml:space="preserve"> </w:t>
      </w:r>
      <w:r w:rsidR="00694F8E">
        <w:rPr>
          <w:rFonts w:ascii="Verdana" w:hAnsi="Verdana"/>
          <w:sz w:val="18"/>
          <w:szCs w:val="18"/>
        </w:rPr>
        <w:t>gennaio 2019</w:t>
      </w:r>
      <w:r w:rsidR="00672039" w:rsidRPr="00672039">
        <w:rPr>
          <w:rFonts w:ascii="Verdana" w:hAnsi="Verdana"/>
          <w:sz w:val="18"/>
          <w:szCs w:val="18"/>
        </w:rPr>
        <w:t xml:space="preserve"> </w:t>
      </w:r>
    </w:p>
    <w:p w:rsidR="009A644A" w:rsidRDefault="00694F8E" w:rsidP="009A644A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MATTARELLA</w:t>
      </w:r>
      <w:r w:rsidR="00672039" w:rsidRPr="00672039">
        <w:rPr>
          <w:rFonts w:ascii="Verdana" w:hAnsi="Verdana"/>
          <w:sz w:val="18"/>
          <w:szCs w:val="18"/>
        </w:rPr>
        <w:t xml:space="preserve"> </w:t>
      </w:r>
    </w:p>
    <w:p w:rsidR="009A644A" w:rsidRDefault="00694F8E" w:rsidP="009A644A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Conte</w:t>
      </w:r>
      <w:r w:rsidR="00672039" w:rsidRPr="00672039">
        <w:rPr>
          <w:rFonts w:ascii="Verdana" w:hAnsi="Verdana"/>
          <w:sz w:val="18"/>
          <w:szCs w:val="18"/>
        </w:rPr>
        <w:t xml:space="preserve">, Presidente del Consiglio dei ministri </w:t>
      </w:r>
    </w:p>
    <w:p w:rsidR="009A644A" w:rsidRDefault="00694F8E" w:rsidP="009A644A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Bonafede</w:t>
      </w:r>
      <w:r w:rsidR="00672039" w:rsidRPr="00672039">
        <w:rPr>
          <w:rFonts w:ascii="Verdana" w:hAnsi="Verdana"/>
          <w:sz w:val="18"/>
          <w:szCs w:val="18"/>
        </w:rPr>
        <w:t xml:space="preserve">, Ministro </w:t>
      </w:r>
      <w:r>
        <w:rPr>
          <w:rFonts w:ascii="Verdana" w:hAnsi="Verdana"/>
          <w:sz w:val="18"/>
          <w:szCs w:val="18"/>
        </w:rPr>
        <w:t>della giustizia</w:t>
      </w:r>
      <w:r w:rsidR="00672039" w:rsidRPr="00672039">
        <w:rPr>
          <w:rFonts w:ascii="Verdana" w:hAnsi="Verdana"/>
          <w:sz w:val="18"/>
          <w:szCs w:val="18"/>
        </w:rPr>
        <w:t xml:space="preserve"> </w:t>
      </w:r>
    </w:p>
    <w:p w:rsidR="009A644A" w:rsidRDefault="00672039" w:rsidP="0060482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72039">
        <w:rPr>
          <w:rFonts w:ascii="Verdana" w:hAnsi="Verdana"/>
          <w:sz w:val="18"/>
          <w:szCs w:val="18"/>
        </w:rPr>
        <w:t xml:space="preserve">Visto, il Guardasigilli: </w:t>
      </w:r>
      <w:r w:rsidR="00694F8E">
        <w:rPr>
          <w:rFonts w:ascii="Verdana" w:hAnsi="Verdana"/>
          <w:sz w:val="18"/>
          <w:szCs w:val="18"/>
        </w:rPr>
        <w:t>Bonafede</w:t>
      </w:r>
      <w:r w:rsidRPr="00672039">
        <w:rPr>
          <w:rFonts w:ascii="Verdana" w:hAnsi="Verdana"/>
          <w:sz w:val="18"/>
          <w:szCs w:val="18"/>
        </w:rPr>
        <w:t xml:space="preserve"> </w:t>
      </w:r>
    </w:p>
    <w:sectPr w:rsidR="009A644A" w:rsidSect="0038266E">
      <w:headerReference w:type="default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F8E" w:rsidRDefault="00694F8E" w:rsidP="00672039">
      <w:pPr>
        <w:spacing w:after="0" w:line="240" w:lineRule="auto"/>
      </w:pPr>
      <w:r>
        <w:separator/>
      </w:r>
    </w:p>
  </w:endnote>
  <w:endnote w:type="continuationSeparator" w:id="0">
    <w:p w:rsidR="00694F8E" w:rsidRDefault="00694F8E" w:rsidP="0067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57" w:rsidRPr="00417F57" w:rsidRDefault="00417F57" w:rsidP="00417F57">
    <w:pPr>
      <w:pStyle w:val="Pidipagina"/>
      <w:tabs>
        <w:tab w:val="right" w:pos="8505"/>
      </w:tabs>
      <w:rPr>
        <w:rFonts w:ascii="Verdana" w:hAnsi="Verdana"/>
        <w:i/>
        <w:sz w:val="17"/>
        <w:szCs w:val="17"/>
      </w:rPr>
    </w:pPr>
    <w:r>
      <w:rPr>
        <w:rFonts w:ascii="Verdana" w:hAnsi="Verdana"/>
        <w:i/>
        <w:sz w:val="17"/>
        <w:szCs w:val="17"/>
      </w:rPr>
      <w:t>Ultimo aggiornamento: 19/03/2019</w:t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fldChar w:fldCharType="begin"/>
    </w:r>
    <w:r>
      <w:rPr>
        <w:rFonts w:ascii="Verdana" w:hAnsi="Verdana"/>
        <w:i/>
        <w:sz w:val="17"/>
        <w:szCs w:val="17"/>
      </w:rPr>
      <w:instrText>PAGE   \* MERGEFORMAT</w:instrText>
    </w:r>
    <w:r>
      <w:rPr>
        <w:rFonts w:ascii="Verdana" w:hAnsi="Verdana"/>
        <w:i/>
        <w:sz w:val="17"/>
        <w:szCs w:val="17"/>
      </w:rPr>
      <w:fldChar w:fldCharType="separate"/>
    </w:r>
    <w:r>
      <w:rPr>
        <w:rFonts w:ascii="Verdana" w:hAnsi="Verdana"/>
        <w:i/>
        <w:noProof/>
        <w:sz w:val="17"/>
        <w:szCs w:val="17"/>
      </w:rPr>
      <w:t>4</w:t>
    </w:r>
    <w:r>
      <w:rPr>
        <w:rFonts w:ascii="Verdana" w:hAnsi="Verdana"/>
        <w:i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F8E" w:rsidRDefault="00694F8E" w:rsidP="00672039">
      <w:pPr>
        <w:spacing w:after="0" w:line="240" w:lineRule="auto"/>
      </w:pPr>
      <w:r>
        <w:separator/>
      </w:r>
    </w:p>
  </w:footnote>
  <w:footnote w:type="continuationSeparator" w:id="0">
    <w:p w:rsidR="00694F8E" w:rsidRDefault="00694F8E" w:rsidP="00672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694F8E" w:rsidTr="006D7854">
      <w:tc>
        <w:tcPr>
          <w:tcW w:w="3505" w:type="dxa"/>
          <w:shd w:val="clear" w:color="auto" w:fill="auto"/>
          <w:vAlign w:val="center"/>
        </w:tcPr>
        <w:p w:rsidR="00694F8E" w:rsidRPr="00A47199" w:rsidRDefault="00694F8E" w:rsidP="006D7854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3708BC0B" wp14:editId="6522C52A">
                <wp:extent cx="2042160" cy="403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:rsidR="00694F8E" w:rsidRPr="00A47199" w:rsidRDefault="00694F8E" w:rsidP="006D7854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01F2CDEE" wp14:editId="5AD2C5A0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94F8E" w:rsidRDefault="00694F8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A5"/>
    <w:rsid w:val="000B473D"/>
    <w:rsid w:val="001F441E"/>
    <w:rsid w:val="003300A5"/>
    <w:rsid w:val="0038266E"/>
    <w:rsid w:val="00417F57"/>
    <w:rsid w:val="00430C55"/>
    <w:rsid w:val="00432DC6"/>
    <w:rsid w:val="0045133E"/>
    <w:rsid w:val="004554CF"/>
    <w:rsid w:val="005C5686"/>
    <w:rsid w:val="0060482F"/>
    <w:rsid w:val="00672039"/>
    <w:rsid w:val="00694F8E"/>
    <w:rsid w:val="006D7854"/>
    <w:rsid w:val="00764FAE"/>
    <w:rsid w:val="00891F9D"/>
    <w:rsid w:val="008B2C67"/>
    <w:rsid w:val="009A644A"/>
    <w:rsid w:val="009C215F"/>
    <w:rsid w:val="00AA7205"/>
    <w:rsid w:val="00B06606"/>
    <w:rsid w:val="00BA43A2"/>
    <w:rsid w:val="00C365BF"/>
    <w:rsid w:val="00C90770"/>
    <w:rsid w:val="00C97DBC"/>
    <w:rsid w:val="00D02F77"/>
    <w:rsid w:val="00D6715A"/>
    <w:rsid w:val="00DC31A4"/>
    <w:rsid w:val="00F0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41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72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039"/>
  </w:style>
  <w:style w:type="paragraph" w:styleId="Pidipagina">
    <w:name w:val="footer"/>
    <w:basedOn w:val="Normale"/>
    <w:link w:val="PidipaginaCarattere"/>
    <w:uiPriority w:val="99"/>
    <w:unhideWhenUsed/>
    <w:qFormat/>
    <w:rsid w:val="00672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03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64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644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64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41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72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039"/>
  </w:style>
  <w:style w:type="paragraph" w:styleId="Pidipagina">
    <w:name w:val="footer"/>
    <w:basedOn w:val="Normale"/>
    <w:link w:val="PidipaginaCarattere"/>
    <w:uiPriority w:val="99"/>
    <w:unhideWhenUsed/>
    <w:qFormat/>
    <w:rsid w:val="00672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03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64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644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64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D818-F6D1-4C6E-9EED-03578947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2019-03-19T13:37:00Z</dcterms:created>
  <dcterms:modified xsi:type="dcterms:W3CDTF">2019-03-19T20:41:00Z</dcterms:modified>
</cp:coreProperties>
</file>