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3AEA" w14:textId="77777777" w:rsidR="003300A5" w:rsidRPr="0038266E" w:rsidRDefault="003300A5" w:rsidP="003300A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LEGGE </w:t>
      </w:r>
      <w:r w:rsidR="00694F8E">
        <w:rPr>
          <w:rFonts w:ascii="Verdana" w:hAnsi="Verdana" w:cs="Arial"/>
          <w:b/>
          <w:color w:val="4E3F85"/>
          <w:sz w:val="20"/>
          <w:szCs w:val="20"/>
        </w:rPr>
        <w:t>9 gennaio 2019</w:t>
      </w: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, n. </w:t>
      </w:r>
      <w:r w:rsidR="00694F8E">
        <w:rPr>
          <w:rFonts w:ascii="Verdana" w:hAnsi="Verdana" w:cs="Arial"/>
          <w:b/>
          <w:color w:val="4E3F85"/>
          <w:sz w:val="20"/>
          <w:szCs w:val="20"/>
        </w:rPr>
        <w:t>3</w:t>
      </w: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14:paraId="2E97F31C" w14:textId="77777777" w:rsidR="003300A5" w:rsidRPr="0038266E" w:rsidRDefault="00694F8E" w:rsidP="003300A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694F8E">
        <w:rPr>
          <w:rFonts w:ascii="Verdana" w:hAnsi="Verdana" w:cs="Arial"/>
          <w:sz w:val="20"/>
          <w:szCs w:val="20"/>
        </w:rPr>
        <w:t>Misure per il contrasto dei reati contro la pubblica amministrazione, nonch</w:t>
      </w:r>
      <w:r>
        <w:rPr>
          <w:rFonts w:ascii="Verdana" w:hAnsi="Verdana" w:cs="Arial"/>
          <w:sz w:val="20"/>
          <w:szCs w:val="20"/>
        </w:rPr>
        <w:t>é</w:t>
      </w:r>
      <w:r w:rsidRPr="00694F8E">
        <w:rPr>
          <w:rFonts w:ascii="Verdana" w:hAnsi="Verdana" w:cs="Arial"/>
          <w:sz w:val="20"/>
          <w:szCs w:val="20"/>
        </w:rPr>
        <w:t xml:space="preserve"> in materia di prescrizione del reato e in materia di trasparenza dei partiti e movimenti politici</w:t>
      </w:r>
      <w:r w:rsidR="003300A5" w:rsidRPr="0038266E">
        <w:rPr>
          <w:rFonts w:ascii="Verdana" w:hAnsi="Verdana" w:cs="Arial"/>
          <w:sz w:val="20"/>
          <w:szCs w:val="20"/>
        </w:rPr>
        <w:t>.</w:t>
      </w:r>
    </w:p>
    <w:p w14:paraId="16563352" w14:textId="77777777" w:rsid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3FB8278" w14:textId="77777777"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approvato;</w:t>
      </w:r>
    </w:p>
    <w:p w14:paraId="62C8F97A" w14:textId="77777777"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IL PRESIDENTE DELLA REPUBBLICA</w:t>
      </w:r>
    </w:p>
    <w:p w14:paraId="5317ACE3" w14:textId="77777777"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PROMULGA</w:t>
      </w:r>
    </w:p>
    <w:p w14:paraId="4E506C10" w14:textId="77777777" w:rsidR="003300A5" w:rsidRPr="003300A5" w:rsidRDefault="003300A5" w:rsidP="003300A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 seguente legge:</w:t>
      </w:r>
    </w:p>
    <w:p w14:paraId="7E4E755B" w14:textId="77777777" w:rsidR="003300A5" w:rsidRP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2F91235" w14:textId="77777777" w:rsidR="003300A5" w:rsidRPr="0038266E" w:rsidRDefault="00DC31A4" w:rsidP="0038266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14:paraId="483C2F54" w14:textId="77777777" w:rsidR="00672039" w:rsidRDefault="00672039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694F8E">
        <w:rPr>
          <w:rFonts w:ascii="Verdana" w:hAnsi="Verdana"/>
          <w:sz w:val="18"/>
          <w:szCs w:val="18"/>
        </w:rPr>
        <w:t>-10.</w:t>
      </w:r>
      <w:r w:rsidR="003300A5">
        <w:rPr>
          <w:rFonts w:ascii="Verdana" w:hAnsi="Verdana"/>
          <w:sz w:val="18"/>
          <w:szCs w:val="18"/>
        </w:rPr>
        <w:tab/>
      </w:r>
      <w:r w:rsidR="00694F8E" w:rsidRPr="00694F8E">
        <w:rPr>
          <w:rFonts w:ascii="Verdana" w:hAnsi="Verdana"/>
          <w:i/>
          <w:sz w:val="18"/>
          <w:szCs w:val="18"/>
        </w:rPr>
        <w:t>Omissis</w:t>
      </w:r>
      <w:r w:rsidRPr="00672039">
        <w:rPr>
          <w:rFonts w:ascii="Verdana" w:hAnsi="Verdana"/>
          <w:sz w:val="18"/>
          <w:szCs w:val="18"/>
        </w:rPr>
        <w:t xml:space="preserve"> </w:t>
      </w:r>
    </w:p>
    <w:p w14:paraId="3EBF440E" w14:textId="782A1A14" w:rsidR="001A53C5" w:rsidRPr="001A53C5" w:rsidRDefault="00694F8E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672039" w:rsidRPr="00672039">
        <w:rPr>
          <w:rFonts w:ascii="Verdana" w:hAnsi="Verdana"/>
          <w:sz w:val="18"/>
          <w:szCs w:val="18"/>
        </w:rPr>
        <w:t>.</w:t>
      </w:r>
      <w:r w:rsidR="00672039">
        <w:rPr>
          <w:rFonts w:ascii="Verdana" w:hAnsi="Verdana"/>
          <w:sz w:val="18"/>
          <w:szCs w:val="18"/>
        </w:rPr>
        <w:tab/>
      </w:r>
      <w:r w:rsidR="001A53C5" w:rsidRPr="001A53C5">
        <w:rPr>
          <w:rFonts w:ascii="Verdana" w:hAnsi="Verdana"/>
          <w:sz w:val="18"/>
          <w:szCs w:val="18"/>
        </w:rPr>
        <w:t>Con l'elargizione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contributi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denaro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complessivamente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superiori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nell'anno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euro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500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per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soggetto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erogatore,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prestazioni o altre forme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sostegno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valore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equivalente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per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soggetto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erogatore,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politici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cui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all'articolo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18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decreto-legge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28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dicembre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2013,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n.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149,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convertito, con modificazioni, dalla legge 21 febbraio 2014,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n.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13,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nonch</w:t>
      </w:r>
      <w:r w:rsidR="001A53C5">
        <w:rPr>
          <w:rFonts w:ascii="Verdana" w:hAnsi="Verdana"/>
          <w:sz w:val="18"/>
          <w:szCs w:val="18"/>
        </w:rPr>
        <w:t>é</w:t>
      </w:r>
      <w:r w:rsidR="001A53C5" w:rsidRPr="001A53C5">
        <w:rPr>
          <w:rFonts w:ascii="Verdana" w:hAnsi="Verdana"/>
          <w:sz w:val="18"/>
          <w:szCs w:val="18"/>
        </w:rPr>
        <w:t xml:space="preserve"> alle liste e ai candidati alla carica di sindaco partecipanti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alle elezioni amministrative nei comuni con popolazione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superiore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15.000 abitanti, s'intende prestato il consenso alla pubblicit</w:t>
      </w:r>
      <w:r w:rsidR="001A53C5"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dati da parte dei predetti soggetti erogatori.</w:t>
      </w:r>
      <w:r w:rsidR="001A53C5">
        <w:rPr>
          <w:rFonts w:ascii="Verdana" w:hAnsi="Verdana"/>
          <w:sz w:val="18"/>
          <w:szCs w:val="18"/>
        </w:rPr>
        <w:t xml:space="preserve"> È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fatto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divieto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partiti o 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politici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ricevere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contributi,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prestazioni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gratuite o altre forme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sostegno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carattere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patrimoniale,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in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qualsiasi modo erogati, ivi compresa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messa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disposizione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carattere di stabilit</w:t>
      </w:r>
      <w:r w:rsidR="001A53C5">
        <w:rPr>
          <w:rFonts w:ascii="Verdana" w:hAnsi="Verdana"/>
          <w:sz w:val="18"/>
          <w:szCs w:val="18"/>
        </w:rPr>
        <w:t>à</w:t>
      </w:r>
      <w:r w:rsidR="001A53C5" w:rsidRPr="001A53C5">
        <w:rPr>
          <w:rFonts w:ascii="Verdana" w:hAnsi="Verdana"/>
          <w:sz w:val="18"/>
          <w:szCs w:val="18"/>
        </w:rPr>
        <w:t xml:space="preserve"> di servizi a titolo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gratuito,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parte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persone fisiche o enti che si dichiarino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contrari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alla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pubblicit</w:t>
      </w:r>
      <w:r w:rsidR="001A53C5">
        <w:rPr>
          <w:rFonts w:ascii="Verdana" w:hAnsi="Verdana"/>
          <w:sz w:val="18"/>
          <w:szCs w:val="18"/>
        </w:rPr>
        <w:t xml:space="preserve">à </w:t>
      </w:r>
      <w:r w:rsidR="001A53C5" w:rsidRPr="001A53C5">
        <w:rPr>
          <w:rFonts w:ascii="Verdana" w:hAnsi="Verdana"/>
          <w:sz w:val="18"/>
          <w:szCs w:val="18"/>
        </w:rPr>
        <w:t>dei relativi dati. Per i contributi, le prestazioni o altre forme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sostegno di cui al primo periodo sono annotati, entro il mese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solare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successivo a quello di percezione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ovvero,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caso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contributi,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prestazioni o altre forme di sostegno di importo unitario inferiore 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uguale a euro 500, entro il mese di marzo dell'anno solare successivo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se complessivamente superiori nell'anno a tale importo,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apposito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registro numerato progressivamente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firmato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su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ogni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foglio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dal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rappresentante legale 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tesoriere,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custodito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presso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sede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legale del partito o movimento politico,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l'identit</w:t>
      </w:r>
      <w:r w:rsidR="001A53C5"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dell'erogante,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l'entit</w:t>
      </w:r>
      <w:r w:rsidR="001A53C5">
        <w:rPr>
          <w:rFonts w:ascii="Verdana" w:hAnsi="Verdana"/>
          <w:sz w:val="18"/>
          <w:szCs w:val="18"/>
        </w:rPr>
        <w:t>à</w:t>
      </w:r>
      <w:r w:rsidR="001A53C5" w:rsidRPr="001A53C5">
        <w:rPr>
          <w:rFonts w:ascii="Verdana" w:hAnsi="Verdana"/>
          <w:sz w:val="18"/>
          <w:szCs w:val="18"/>
        </w:rPr>
        <w:t xml:space="preserve"> del contributo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valore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prestazione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della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diversa forma di sostegno 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data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dell'erogazione.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caso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scioglimento anche di una sola Camera, il termine indicato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terzo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 xml:space="preserve">periodo </w:t>
      </w:r>
      <w:r w:rsidR="001A53C5">
        <w:rPr>
          <w:rFonts w:ascii="Verdana" w:hAnsi="Verdana"/>
          <w:sz w:val="18"/>
          <w:szCs w:val="18"/>
        </w:rPr>
        <w:t>è</w:t>
      </w:r>
      <w:r w:rsidR="001A53C5" w:rsidRPr="001A53C5">
        <w:rPr>
          <w:rFonts w:ascii="Verdana" w:hAnsi="Verdana"/>
          <w:sz w:val="18"/>
          <w:szCs w:val="18"/>
        </w:rPr>
        <w:t xml:space="preserve"> ridotto a quindici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giorni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decorrenti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dalla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data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dello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scioglimento. Entro gli stessi termini di cui al terzo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quarto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periodo, i dati annotati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devono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risultare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dal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rendiconto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cui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all'articolo 8 della legge 2 gennaio 1997, n. 2, ed essere pubblicati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nel sito internet istituzionale del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partito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politico,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ovvero nel sito internet della lista o del candidato di cui al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primo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periodo del presente comma, per un tempo non inferiore a cinque anni.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Sono esenti dall'applicazione delle disposizioni del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comma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le attivit</w:t>
      </w:r>
      <w:r w:rsidR="001A53C5">
        <w:rPr>
          <w:rFonts w:ascii="Verdana" w:hAnsi="Verdana"/>
          <w:sz w:val="18"/>
          <w:szCs w:val="18"/>
        </w:rPr>
        <w:t>à</w:t>
      </w:r>
      <w:r w:rsidR="001A53C5" w:rsidRPr="001A53C5">
        <w:rPr>
          <w:rFonts w:ascii="Verdana" w:hAnsi="Verdana"/>
          <w:sz w:val="18"/>
          <w:szCs w:val="18"/>
        </w:rPr>
        <w:t xml:space="preserve"> a contenuto non commerciale, professionale 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lavoro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autonomo di sostegno volontario all'organizzazione e alle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iniziative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del partito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politico,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fermo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restando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per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tutte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le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elargizioni l'obbligo di rilasciarne ricevuta, la cui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matrice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viene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conservata, per finalit</w:t>
      </w:r>
      <w:r w:rsidR="001A53C5">
        <w:rPr>
          <w:rFonts w:ascii="Verdana" w:hAnsi="Verdana"/>
          <w:sz w:val="18"/>
          <w:szCs w:val="18"/>
        </w:rPr>
        <w:t>à</w:t>
      </w:r>
      <w:r w:rsidR="001A53C5" w:rsidRPr="001A53C5">
        <w:rPr>
          <w:rFonts w:ascii="Verdana" w:hAnsi="Verdana"/>
          <w:sz w:val="18"/>
          <w:szCs w:val="18"/>
        </w:rPr>
        <w:t xml:space="preserve"> di computo 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complessiva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entit</w:t>
      </w:r>
      <w:r w:rsidR="001A53C5"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>dei</w:t>
      </w:r>
      <w:r w:rsidR="001A53C5">
        <w:rPr>
          <w:rFonts w:ascii="Verdana" w:hAnsi="Verdana"/>
          <w:sz w:val="18"/>
          <w:szCs w:val="18"/>
        </w:rPr>
        <w:t xml:space="preserve"> </w:t>
      </w:r>
      <w:r w:rsidR="001A53C5" w:rsidRPr="001A53C5">
        <w:rPr>
          <w:rFonts w:ascii="Verdana" w:hAnsi="Verdana"/>
          <w:sz w:val="18"/>
          <w:szCs w:val="18"/>
        </w:rPr>
        <w:t xml:space="preserve">contributi riscossi dal partito o movimento politico. </w:t>
      </w:r>
    </w:p>
    <w:p w14:paraId="14D6F2FB" w14:textId="6AFE5DF9" w:rsidR="001A53C5" w:rsidRPr="001A53C5" w:rsidRDefault="001A53C5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A53C5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1A53C5">
        <w:rPr>
          <w:rFonts w:ascii="Verdana" w:hAnsi="Verdana"/>
          <w:sz w:val="18"/>
          <w:szCs w:val="18"/>
        </w:rPr>
        <w:t>Ai partiti e ai movimenti politici e alle liste di cui al comma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primo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periodo,</w:t>
      </w:r>
      <w:r w:rsidR="00E552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fatto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divieto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ricevere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contributi,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prestazioni o altre forme di sostegno provenienti da governi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pubblici di Stati esteri e da persone giuridiche aventi sede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Stato estero non assoggettate a obblighi fiscali in Italia.</w:t>
      </w:r>
      <w:r>
        <w:rPr>
          <w:rFonts w:ascii="Verdana" w:hAnsi="Verdana"/>
          <w:sz w:val="18"/>
          <w:szCs w:val="18"/>
        </w:rPr>
        <w:t xml:space="preserve"> È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divieto alle persone fisiche maggiorenni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lastRenderedPageBreak/>
        <w:t>iscritte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elettorali o private del diritto di voto 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elargire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contributi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partiti o movimenti politici ovvero alle liste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 xml:space="preserve">primo periodo. </w:t>
      </w:r>
    </w:p>
    <w:p w14:paraId="1CBBF622" w14:textId="1E1D51CA" w:rsidR="001A53C5" w:rsidRPr="001A53C5" w:rsidRDefault="001A53C5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A53C5"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</w:r>
      <w:r w:rsidRPr="001A53C5">
        <w:rPr>
          <w:rFonts w:ascii="Verdana" w:hAnsi="Verdana"/>
          <w:sz w:val="18"/>
          <w:szCs w:val="18"/>
        </w:rPr>
        <w:t>I contributi ricevuti in violazione dei divieti di cui ai commi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 e 12 o in assenza degli adempimenti previsti dal terzo, dal quarto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 dal quinto periodo del comma 11 non sono ripetibili e 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versati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alla cassa delle ammende, di cui all'articolo 4 della legge 9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1932, n. 547, entro dieci giorni dalla scadenza dei termini di cui ai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 xml:space="preserve">predetti periodi del comma 11. </w:t>
      </w:r>
    </w:p>
    <w:p w14:paraId="53F68032" w14:textId="14C2C55D" w:rsidR="001A53C5" w:rsidRPr="001A53C5" w:rsidRDefault="001A53C5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A53C5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</w:r>
      <w:r w:rsidRPr="001A53C5">
        <w:rPr>
          <w:rFonts w:ascii="Verdana" w:hAnsi="Verdana"/>
          <w:sz w:val="18"/>
          <w:szCs w:val="18"/>
        </w:rPr>
        <w:t>Entro il quattordicesimo giorno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antecedente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elezioni politiche,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membri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Parlamento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europeo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all'Italia, regionali e amministrative,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escluse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quelle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relative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comuni con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popolazione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fino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15.000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abitanti,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movimenti politici nonch</w:t>
      </w:r>
      <w:r>
        <w:rPr>
          <w:rFonts w:ascii="Verdana" w:hAnsi="Verdana"/>
          <w:sz w:val="18"/>
          <w:szCs w:val="18"/>
        </w:rPr>
        <w:t>é</w:t>
      </w:r>
      <w:r w:rsidRPr="001A53C5">
        <w:rPr>
          <w:rFonts w:ascii="Verdana" w:hAnsi="Verdana"/>
          <w:sz w:val="18"/>
          <w:szCs w:val="18"/>
        </w:rPr>
        <w:t xml:space="preserve"> le liste di cui al primo periodo del comma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 hanno l'obbligo di pubblicare, nel proprio sito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internet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per le liste di cui al citato primo periodo del 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internet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partito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politico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sotto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contrassegno si sono presentate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competizione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elettorale,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curriculum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vitae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ciascun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fornito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medesimo, e il relativo certificato del casellario giudiziale 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all'articolo 24 del testo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unico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disposizioni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legislative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regolamentari in materia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casellario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giudiziale,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casellario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giudiziale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europeo,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anagrafe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sanzioni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dipendenti da reato 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relativi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carichi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pendenti,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decreto del Presidente della Repubblica 14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novembre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2002,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313,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rilasciato non oltre novanta giorni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prima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fissata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l'elezione. I rappresentanti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legali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politici nonch</w:t>
      </w:r>
      <w:r>
        <w:rPr>
          <w:rFonts w:ascii="Verdana" w:hAnsi="Verdana"/>
          <w:sz w:val="18"/>
          <w:szCs w:val="18"/>
        </w:rPr>
        <w:t>é</w:t>
      </w:r>
      <w:r w:rsidRPr="001A53C5">
        <w:rPr>
          <w:rFonts w:ascii="Verdana" w:hAnsi="Verdana"/>
          <w:sz w:val="18"/>
          <w:szCs w:val="18"/>
        </w:rPr>
        <w:t xml:space="preserve"> delle liste di cui al citato primo periodo del comma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11, o persone da loro delegate, possono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richiedere,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anche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posta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elettronica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certificata,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certificati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casellario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giudiziale 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compreso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carica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sindaco, per i quali sussiste l'obbligo di pubblicazione ai sensi del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primo periodo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comma,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previo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consenso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su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dell'interessato, da sottoscrivere all'atto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dell'accettazione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candidatura. Il tribunale deve rendere disponibili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richiedente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certificati entro il termine di cinque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giorni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richiesta.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fini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dell'ottemperanza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agli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obblighi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pubblicazione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internet di cui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richiesto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consenso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espresso degli interessati.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caso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certificato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casellario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giudiziale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richiesto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coloro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candidarsi alle elezioni di cui al presente comma, per le quali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stati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convocati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comizi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elettorali,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ed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essi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dichiarino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contestualmente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sotto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propria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responsabilit</w:t>
      </w:r>
      <w:r>
        <w:rPr>
          <w:rFonts w:ascii="Verdana" w:hAnsi="Verdana"/>
          <w:sz w:val="18"/>
          <w:szCs w:val="18"/>
        </w:rPr>
        <w:t>à</w:t>
      </w:r>
      <w:r w:rsidRPr="001A53C5">
        <w:rPr>
          <w:rFonts w:ascii="Verdana" w:hAnsi="Verdana"/>
          <w:sz w:val="18"/>
          <w:szCs w:val="18"/>
        </w:rPr>
        <w:t>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dell'articolo 47 del testo unico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disposizioni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legislative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regolamentari in materia di documentazione amministrativa,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decreto del Presidente della Repubblica 28 dicembre 2000, n. 445, che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 xml:space="preserve">la richiesta di tale certificato </w:t>
      </w:r>
      <w:r>
        <w:rPr>
          <w:rFonts w:ascii="Verdana" w:hAnsi="Verdana"/>
          <w:sz w:val="18"/>
          <w:szCs w:val="18"/>
        </w:rPr>
        <w:t>è</w:t>
      </w:r>
      <w:r w:rsidRPr="001A53C5">
        <w:rPr>
          <w:rFonts w:ascii="Verdana" w:hAnsi="Verdana"/>
          <w:sz w:val="18"/>
          <w:szCs w:val="18"/>
        </w:rPr>
        <w:t xml:space="preserve"> finalizzata a rendere pubblici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dati ivi contenuti in occasione della propria candidatura, le imposte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 bollo e ogni altra spesa, imposta 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diritto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dovuti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uffici sono ridotti della met</w:t>
      </w:r>
      <w:r>
        <w:rPr>
          <w:rFonts w:ascii="Verdana" w:hAnsi="Verdana"/>
          <w:sz w:val="18"/>
          <w:szCs w:val="18"/>
        </w:rPr>
        <w:t>à</w:t>
      </w:r>
      <w:r w:rsidRPr="001A53C5">
        <w:rPr>
          <w:rFonts w:ascii="Verdana" w:hAnsi="Verdana"/>
          <w:sz w:val="18"/>
          <w:szCs w:val="18"/>
        </w:rPr>
        <w:t xml:space="preserve">. </w:t>
      </w:r>
    </w:p>
    <w:p w14:paraId="1D73954C" w14:textId="514F5CE3" w:rsidR="001A53C5" w:rsidRPr="001A53C5" w:rsidRDefault="001A53C5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A53C5"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</w:r>
      <w:r w:rsidRPr="001A53C5">
        <w:rPr>
          <w:rFonts w:ascii="Verdana" w:hAnsi="Verdana"/>
          <w:sz w:val="18"/>
          <w:szCs w:val="18"/>
        </w:rPr>
        <w:t>In apposita sezione,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denominata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«Elezioni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trasparenti»,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sito internet dell'ente cui si riferisce la consultazione elettorale,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ovvero del Ministero dell'interno in caso di elezioni 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nazionale o dei membri del Parlamento europeo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spettanti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entro il settimo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giorno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antecedente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elettorale, per ciascuna lista o candidato ad essa collegato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nonch</w:t>
      </w:r>
      <w:r>
        <w:rPr>
          <w:rFonts w:ascii="Verdana" w:hAnsi="Verdana"/>
          <w:sz w:val="18"/>
          <w:szCs w:val="18"/>
        </w:rPr>
        <w:t xml:space="preserve">é </w:t>
      </w:r>
      <w:r w:rsidRPr="001A53C5">
        <w:rPr>
          <w:rFonts w:ascii="Verdana" w:hAnsi="Verdana"/>
          <w:sz w:val="18"/>
          <w:szCs w:val="18"/>
        </w:rPr>
        <w:t>per ciascun partito o 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politico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presentino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elezioni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14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pubblicati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maniera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facilmente accessibile il curriculum vitae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certificato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casellario giudiziale di cui all'articolo 24 del testo unico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 decreto del Presidente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Repubblica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14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novembre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2002,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313, dei candidati rilasciato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oltre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novanta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prima della data fissata per l'elezione,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</w:t>
      </w:r>
      <w:r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pubblicati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internet del partito o movimento politico ovvero 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lista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candidato con essa collegato 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11,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primo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previamente comunicati agli 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periodo.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pubblicazione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deve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consentire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all'elettore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accedere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informazioni ivi riportate attraverso la ricerca per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collegio, partito e per cognome e nome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singolo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candidato.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decreto del Ministro dell'interno, da emanare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entro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novanta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dalla data di entrata in vigore della presente legge,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definite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tecniche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acquisizione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su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 xml:space="preserve">piattaforma informatica. </w:t>
      </w:r>
    </w:p>
    <w:p w14:paraId="437889BE" w14:textId="1CBE3E09" w:rsidR="00672039" w:rsidRDefault="001A53C5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A53C5">
        <w:rPr>
          <w:rFonts w:ascii="Verdana" w:hAnsi="Verdana"/>
          <w:sz w:val="18"/>
          <w:szCs w:val="18"/>
        </w:rPr>
        <w:lastRenderedPageBreak/>
        <w:t>16.</w:t>
      </w:r>
      <w:r>
        <w:rPr>
          <w:rFonts w:ascii="Verdana" w:hAnsi="Verdana"/>
          <w:sz w:val="18"/>
          <w:szCs w:val="18"/>
        </w:rPr>
        <w:tab/>
      </w:r>
      <w:r w:rsidRPr="001A53C5">
        <w:rPr>
          <w:rFonts w:ascii="Verdana" w:hAnsi="Verdana"/>
          <w:sz w:val="18"/>
          <w:szCs w:val="18"/>
        </w:rPr>
        <w:t>I partiti e 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politici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trasmettono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annualmente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rendiconti di cui all'articolo 8 della legge 2 gennaio 1997, n. 2,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 relativi allegati, corredati della certificazione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 revisore legale, redatti ai sensi della normativa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vigente,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Commissione per la trasparenza 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controllo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rendiconti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partiti e dei movimenti politici,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all'articolo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9,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1A53C5">
        <w:rPr>
          <w:rFonts w:ascii="Verdana" w:hAnsi="Verdana"/>
          <w:sz w:val="18"/>
          <w:szCs w:val="18"/>
        </w:rPr>
        <w:t>della legge 6 luglio 2012, n. 96.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14:paraId="02491F36" w14:textId="77777777" w:rsidR="00694F8E" w:rsidRDefault="00694F8E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</w:t>
      </w:r>
      <w:r w:rsidRPr="0067203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-20. </w:t>
      </w:r>
      <w:r w:rsidRPr="00694F8E">
        <w:rPr>
          <w:rFonts w:ascii="Verdana" w:hAnsi="Verdana"/>
          <w:i/>
          <w:sz w:val="18"/>
          <w:szCs w:val="18"/>
        </w:rPr>
        <w:t>Omissis</w:t>
      </w:r>
    </w:p>
    <w:p w14:paraId="4D0845D2" w14:textId="1926A315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Al partito o al movimento politico che viola i divieti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 commi 11, secondo periodo,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12,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primo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periodo,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articolo 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Commissione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trasparenza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controllo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rendiconti dei partiti e dei movimenti politici,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9, comma 3, della legge 6 luglio 2012, n.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96,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applica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amministrativa pecuniaria di importo non inferiore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triplo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superiore al quintuplo del valore dei contributi, delle prestazioni 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 altre forme di sostegno a carattere patrimoniale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ricevuti,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entro tre mesi dal ricevimento non ha provveduto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versamento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corrispondente importo alla cassa 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ammende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conformit</w:t>
      </w:r>
      <w:r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 13. In caso di violazione 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divieto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secondo periodo, si applicano le sanzioni di cui al primo periodo del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 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entro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mesi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piena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conoscenza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sussistenza delle condizioni ostative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12,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periodo, 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ha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provveduto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versamento del corrispondente importo alla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cassa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ammende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conformit</w:t>
      </w:r>
      <w:r>
        <w:rPr>
          <w:rFonts w:ascii="Verdana" w:hAnsi="Verdana"/>
          <w:sz w:val="18"/>
          <w:szCs w:val="18"/>
        </w:rPr>
        <w:t>à</w:t>
      </w:r>
      <w:r w:rsidRPr="006B0D04">
        <w:rPr>
          <w:rFonts w:ascii="Verdana" w:hAnsi="Verdana"/>
          <w:sz w:val="18"/>
          <w:szCs w:val="18"/>
        </w:rPr>
        <w:t xml:space="preserve"> al comma 13. </w:t>
      </w:r>
    </w:p>
    <w:p w14:paraId="78A7C743" w14:textId="0525A34B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22.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Al partito o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viola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previsti dai commi 11, terzo, quarto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quinto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periodo,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13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 articolo la Commissione per la trasparenza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rendiconti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all'articolo 9, comma 3, della legge 6 luglio 2012, n. 96, applica 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sanzione amministrativa pecuniaria di importo non inferiore al triplo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 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superiore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quintuplo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valore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contributi,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prestazioni o delle altre forme di sostegno a carattere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patrimoniale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 annotati o non versati. Nei casi di cui al periodo precedente, se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gli obblighi sono adempiuti con un ritardo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superiore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giorni, si applica la sanzione amministrativa pecuniaria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 inferiore alla met</w:t>
      </w:r>
      <w:r>
        <w:rPr>
          <w:rFonts w:ascii="Verdana" w:hAnsi="Verdana"/>
          <w:sz w:val="18"/>
          <w:szCs w:val="18"/>
        </w:rPr>
        <w:t>à</w:t>
      </w:r>
      <w:r w:rsidRPr="006B0D04">
        <w:rPr>
          <w:rFonts w:ascii="Verdana" w:hAnsi="Verdana"/>
          <w:sz w:val="18"/>
          <w:szCs w:val="18"/>
        </w:rPr>
        <w:t xml:space="preserve"> e non superiore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doppio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valore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contributi, delle prestazioni 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altre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forme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sostegno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carattere patrimoniale tardivamente annotati o versati. </w:t>
      </w:r>
    </w:p>
    <w:p w14:paraId="3FE62963" w14:textId="538DE76C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23.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Al partito o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viola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previsti dai commi 14 e 16 del presente articolo 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Commissione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 trasparenza e 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controllo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rendiconti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movimenti politici, di cui all'articolo 9, 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3,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luglio 2012, n. 96, applica la sanzione amministrativa pecuniaria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euro 12.000 a euro 120.000. </w:t>
      </w:r>
    </w:p>
    <w:p w14:paraId="6D7F9127" w14:textId="2A18CA05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fini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dell'applicazione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sanzioni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pecuniarie previste dai commi 21,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22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23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nonch</w:t>
      </w:r>
      <w:r>
        <w:rPr>
          <w:rFonts w:ascii="Verdana" w:hAnsi="Verdana"/>
          <w:sz w:val="18"/>
          <w:szCs w:val="18"/>
        </w:rPr>
        <w:t>é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fini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tutela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giurisdizionale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applicano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disposizioni generali contenute nelle sezioni I e II del capo I della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legge 24 novembre 1981, n. 689, salvo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quanto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diversamente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dall'articolo 9 della legge 6 luglio 2012, n. 96.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gli articoli 16 e 26 della medesima legge n. 689 del 1981. </w:t>
      </w:r>
    </w:p>
    <w:p w14:paraId="7E2672EC" w14:textId="4F635E53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25.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Le somme riscosse in applicazione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sanzioni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 21, 22 e 23 del presente articolo sono versate alla cassa delle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ammende, di cui all'articolo 4 della legge 9 maggio 1932, n. 547. </w:t>
      </w:r>
    </w:p>
    <w:p w14:paraId="31B9BF8F" w14:textId="22A6E76F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26.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A decorrere dalla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scioglimento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anche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una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Camera,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Commissione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trasparenza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controllo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rendiconti dei partiti e dei movimenti politici,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9, comma 3, della legge 6 luglio 2012, n. 96, siede in permanenza per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 verifica dell'applicazione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disposizioni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introdotte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 legge. A tal fine, con atto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congiunto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Presidente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Senato della Repubblica e del Presidente 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Camera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possono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essere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stabilite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norme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organizzazione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6B0D04">
        <w:rPr>
          <w:rFonts w:ascii="Verdana" w:hAnsi="Verdana"/>
          <w:sz w:val="18"/>
          <w:szCs w:val="18"/>
        </w:rPr>
        <w:t xml:space="preserve">operative. </w:t>
      </w:r>
    </w:p>
    <w:p w14:paraId="3EAA26EB" w14:textId="09E724EF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26-bis. Al fine di consentire i controlli previsti dalle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norme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legge, la Commissione di garanzia degli statuti e per 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trasparenza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ed il controllo dei rendiconti dei partiti e 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pu</w:t>
      </w:r>
      <w:r>
        <w:rPr>
          <w:rFonts w:ascii="Verdana" w:hAnsi="Verdana"/>
          <w:sz w:val="18"/>
          <w:szCs w:val="18"/>
        </w:rPr>
        <w:t>ò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accedere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banche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gestite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pubbliche o da </w:t>
      </w:r>
      <w:r w:rsidRPr="006B0D04">
        <w:rPr>
          <w:rFonts w:ascii="Verdana" w:hAnsi="Verdana"/>
          <w:sz w:val="18"/>
          <w:szCs w:val="18"/>
        </w:rPr>
        <w:lastRenderedPageBreak/>
        <w:t>enti che, 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diverso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titolo,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competenti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materia elettorale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esercitino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funzioni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confronti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soggetti equiparati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politici.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medesimi fini e per l'esercizio 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funzioni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istituzionali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Commissione possono essere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predisposti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protocolli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d'intesa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citati enti o amministrazioni. </w:t>
      </w:r>
    </w:p>
    <w:p w14:paraId="2C0DFF98" w14:textId="6EE98275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27.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Pr="006B0D04">
        <w:rPr>
          <w:rFonts w:ascii="Verdana" w:hAnsi="Verdana"/>
          <w:sz w:val="18"/>
          <w:szCs w:val="18"/>
        </w:rPr>
        <w:t xml:space="preserve"> delegato ad adottare, entro un anno dalla data di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entrata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vigore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legge,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previo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Commissioni parlamentari competenti, un decreto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legislativo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un testo unico nel quale, con 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modificazioni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necessarie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coordinamento normativo, sono riunite le disposizioni di cui ai commi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 11 a 26 e le altre disposizioni legislative vigenti in materia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contributi ai candidati alle elezioni e 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politici, di rimborso delle spese per le consultazioni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elettorali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referendarie, nonch</w:t>
      </w:r>
      <w:r>
        <w:rPr>
          <w:rFonts w:ascii="Verdana" w:hAnsi="Verdana"/>
          <w:sz w:val="18"/>
          <w:szCs w:val="18"/>
        </w:rPr>
        <w:t>é</w:t>
      </w:r>
      <w:r w:rsidRPr="006B0D04">
        <w:rPr>
          <w:rFonts w:ascii="Verdana" w:hAnsi="Verdana"/>
          <w:sz w:val="18"/>
          <w:szCs w:val="18"/>
        </w:rPr>
        <w:t xml:space="preserve"> in materia di trasparenza,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democraticit</w:t>
      </w:r>
      <w:r>
        <w:rPr>
          <w:rFonts w:ascii="Verdana" w:hAnsi="Verdana"/>
          <w:sz w:val="18"/>
          <w:szCs w:val="18"/>
        </w:rPr>
        <w:t>à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disciplina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contribuzione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volontaria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contribuzione indiretta a loro favore. </w:t>
      </w:r>
    </w:p>
    <w:p w14:paraId="179740F2" w14:textId="02D37A2B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28.</w:t>
      </w:r>
      <w:r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Ai sensi e per gli effetti delle disposizioni di 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 11 a 27 del presente articolo, le fondazioni, le associazioni 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comitati 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all'articolo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5,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4,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decreto-legge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dicembre 2013, n. 149, convertito, con modificazioni, dalla 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febbraio 2014, n. 13, come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sostituito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20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articolo,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equiparati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partiti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movimenti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politici,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prescindere dall'iscrizione del partito o movimento politico cui sono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collegati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registro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all'articolo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4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decreto-legge n.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149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2013.</w:t>
      </w:r>
      <w:r>
        <w:rPr>
          <w:rFonts w:ascii="Verdana" w:hAnsi="Verdana"/>
          <w:sz w:val="18"/>
          <w:szCs w:val="18"/>
        </w:rPr>
        <w:t xml:space="preserve"> È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fatto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salvo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quanto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all'articolo 5, comma 4-bis, del decreto-legge 28 dicembre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2013,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149, convertito, con modificazioni, dalla legge 21 febbraio 2014,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13. </w:t>
      </w:r>
    </w:p>
    <w:p w14:paraId="338008F5" w14:textId="24851FBF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28-bis. In deroga al comma 28, alle fondazioni, alle associazioni 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 comitati di cui all'articolo 5,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4,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decreto-legge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dicembre 2013, n. 149, convertito, con modificazioni, dalla 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febbraio 2014, n. 13, i termini fissati al mese solare successivo dal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 11, terzo periodo, del 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articolo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dall'articolo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 3, del citato decreto-legge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149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2013,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fissati, salvo che per i comitati elettorali, al secondo mese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solare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successivo. Alle fondazioni, alle associazioni e ai comitati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 primo periodo non 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applica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12,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primo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periodo;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medesimi enti il comma 12, secondo periodo, non si applica in caso di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elargizioni disposte da persone fisiche maggiorenni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straniere.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enti di cui al secondo periodo, in caso di violazione degli ulteriori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divieti di cui al comma 12 del presente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articolo,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21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applica solo in relazione a contributi, prestazioni o altre forme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sostegno di importo superiore nell'anno a euro 500. Ai medesimi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è</w:t>
      </w:r>
      <w:r w:rsidRPr="006B0D04">
        <w:rPr>
          <w:rFonts w:ascii="Verdana" w:hAnsi="Verdana"/>
          <w:sz w:val="18"/>
          <w:szCs w:val="18"/>
        </w:rPr>
        <w:t xml:space="preserve"> fatto divieto di devolvere, in tutto o in parte, le elargizioni in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denaro, i contributi, le prestazioni o le altre forme 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sostegno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carattere patrimoniale ricevuti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sensi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secondo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periodo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favore dei partiti, dei movimenti politici, delle liste elettorali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 singoli candidati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carica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sindaco.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elargizioni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denaro, i contributi, le prestazioni o le altre forme 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sostegno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carattere patrimoniale di cui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precedente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periodo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devono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annotati in separata e distinta voce del bilancio d'esercizio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6B0D04">
        <w:rPr>
          <w:rFonts w:ascii="Verdana" w:hAnsi="Verdana"/>
          <w:sz w:val="18"/>
          <w:szCs w:val="18"/>
        </w:rPr>
        <w:t>.</w:t>
      </w:r>
    </w:p>
    <w:p w14:paraId="53221681" w14:textId="01D95880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28-ter. 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fondazioni,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associazioni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comitati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che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violano gli obblighi previsti dal comma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28-bis,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Commissione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garanzia degli statuti 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per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trasparenza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controllo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rendiconti dei partiti politici applica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la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sanzione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amministrativa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pecuniaria di importo non inferiore 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triplo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non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superiore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quintuplo del valore delle elargizioni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in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denaro,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contributi,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 prestazioni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delle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altre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forme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di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sostegno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carattere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patrimoniale ricevuti. </w:t>
      </w:r>
    </w:p>
    <w:p w14:paraId="15AB12B4" w14:textId="42C83DA0" w:rsidR="006B0D04" w:rsidRPr="006B0D04" w:rsidRDefault="006B0D04" w:rsidP="00E5525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t>29.</w:t>
      </w:r>
      <w:r w:rsidR="00E5525A"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Dall'attuazione della presente legge non devono derivare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nuovi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 xml:space="preserve">o maggiori oneri a carico della finanza pubblica. </w:t>
      </w:r>
    </w:p>
    <w:p w14:paraId="46C6C63A" w14:textId="767B47A1" w:rsidR="006B0D04" w:rsidRDefault="006B0D04" w:rsidP="006B0D0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B0D04">
        <w:rPr>
          <w:rFonts w:ascii="Verdana" w:hAnsi="Verdana"/>
          <w:sz w:val="18"/>
          <w:szCs w:val="18"/>
        </w:rPr>
        <w:lastRenderedPageBreak/>
        <w:t>30.</w:t>
      </w:r>
      <w:r w:rsidR="00E5525A">
        <w:rPr>
          <w:rFonts w:ascii="Verdana" w:hAnsi="Verdana"/>
          <w:sz w:val="18"/>
          <w:szCs w:val="18"/>
        </w:rPr>
        <w:tab/>
      </w:r>
      <w:r w:rsidRPr="006B0D04">
        <w:rPr>
          <w:rFonts w:ascii="Verdana" w:hAnsi="Verdana"/>
          <w:sz w:val="18"/>
          <w:szCs w:val="18"/>
        </w:rPr>
        <w:t>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amministrazioni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competenti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provvedono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alle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attivit</w:t>
      </w:r>
      <w:r w:rsidR="00E5525A">
        <w:rPr>
          <w:rFonts w:ascii="Verdana" w:hAnsi="Verdana"/>
          <w:sz w:val="18"/>
          <w:szCs w:val="18"/>
        </w:rPr>
        <w:t xml:space="preserve">à </w:t>
      </w:r>
      <w:r w:rsidRPr="006B0D04">
        <w:rPr>
          <w:rFonts w:ascii="Verdana" w:hAnsi="Verdana"/>
          <w:sz w:val="18"/>
          <w:szCs w:val="18"/>
        </w:rPr>
        <w:t>previste dalla presente legge con le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risorse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umane,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strumentali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e</w:t>
      </w:r>
      <w:r w:rsidR="00E5525A">
        <w:rPr>
          <w:rFonts w:ascii="Verdana" w:hAnsi="Verdana"/>
          <w:sz w:val="18"/>
          <w:szCs w:val="18"/>
        </w:rPr>
        <w:t xml:space="preserve"> </w:t>
      </w:r>
      <w:r w:rsidRPr="006B0D04">
        <w:rPr>
          <w:rFonts w:ascii="Verdana" w:hAnsi="Verdana"/>
          <w:sz w:val="18"/>
          <w:szCs w:val="18"/>
        </w:rPr>
        <w:t>finanziarie disponibili a legislazione vigente.</w:t>
      </w:r>
    </w:p>
    <w:p w14:paraId="6AE6969C" w14:textId="0AF07BB7" w:rsidR="009A644A" w:rsidRDefault="00672039" w:rsidP="006B0D0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72039">
        <w:rPr>
          <w:rFonts w:ascii="Verdana" w:hAnsi="Verdana"/>
          <w:sz w:val="18"/>
          <w:szCs w:val="18"/>
        </w:rPr>
        <w:t>La presente legge, munit</w:t>
      </w:r>
      <w:r w:rsidR="009A644A">
        <w:rPr>
          <w:rFonts w:ascii="Verdana" w:hAnsi="Verdana"/>
          <w:sz w:val="18"/>
          <w:szCs w:val="18"/>
        </w:rPr>
        <w:t>a del sigillo dello Stato, sarà</w:t>
      </w:r>
      <w:r w:rsidRPr="00672039">
        <w:rPr>
          <w:rFonts w:ascii="Verdana" w:hAnsi="Verdana"/>
          <w:sz w:val="18"/>
          <w:szCs w:val="18"/>
        </w:rPr>
        <w:t xml:space="preserve"> inserita nella Raccolta ufficiale degli atti normativi della Repubblica italiana. </w:t>
      </w:r>
      <w:r w:rsidR="009A644A">
        <w:rPr>
          <w:rFonts w:ascii="Verdana" w:hAnsi="Verdana"/>
          <w:sz w:val="18"/>
          <w:szCs w:val="18"/>
        </w:rPr>
        <w:t xml:space="preserve">È </w:t>
      </w:r>
      <w:r w:rsidRPr="00672039">
        <w:rPr>
          <w:rFonts w:ascii="Verdana" w:hAnsi="Verdana"/>
          <w:sz w:val="18"/>
          <w:szCs w:val="18"/>
        </w:rPr>
        <w:t xml:space="preserve">fatto obbligo a chiunque spetti di osservarla e di farla osservare come legge dello Stato. </w:t>
      </w:r>
    </w:p>
    <w:p w14:paraId="2B2CBD88" w14:textId="77777777" w:rsidR="009A644A" w:rsidRDefault="009A644A" w:rsidP="009A644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  <w:r w:rsidR="00694F8E">
        <w:rPr>
          <w:rFonts w:ascii="Verdana" w:hAnsi="Verdana"/>
          <w:sz w:val="18"/>
          <w:szCs w:val="18"/>
        </w:rPr>
        <w:t>9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  <w:r w:rsidR="00694F8E">
        <w:rPr>
          <w:rFonts w:ascii="Verdana" w:hAnsi="Verdana"/>
          <w:sz w:val="18"/>
          <w:szCs w:val="18"/>
        </w:rPr>
        <w:t>gennaio 2019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14:paraId="6E6FE2BF" w14:textId="77777777" w:rsidR="009A644A" w:rsidRDefault="00694F8E" w:rsidP="009A64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14:paraId="555A9925" w14:textId="77777777" w:rsidR="009A644A" w:rsidRDefault="00694F8E" w:rsidP="009A64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Conte</w:t>
      </w:r>
      <w:r w:rsidR="00672039" w:rsidRPr="00672039">
        <w:rPr>
          <w:rFonts w:ascii="Verdana" w:hAnsi="Verdana"/>
          <w:sz w:val="18"/>
          <w:szCs w:val="18"/>
        </w:rPr>
        <w:t xml:space="preserve">, Presidente del Consiglio dei ministri </w:t>
      </w:r>
    </w:p>
    <w:p w14:paraId="0FB1FFAE" w14:textId="77777777" w:rsidR="009A644A" w:rsidRDefault="00694F8E" w:rsidP="009A64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Bonafede</w:t>
      </w:r>
      <w:r w:rsidR="00672039" w:rsidRPr="00672039">
        <w:rPr>
          <w:rFonts w:ascii="Verdana" w:hAnsi="Verdana"/>
          <w:sz w:val="18"/>
          <w:szCs w:val="18"/>
        </w:rPr>
        <w:t xml:space="preserve">, Ministro </w:t>
      </w:r>
      <w:r>
        <w:rPr>
          <w:rFonts w:ascii="Verdana" w:hAnsi="Verdana"/>
          <w:sz w:val="18"/>
          <w:szCs w:val="18"/>
        </w:rPr>
        <w:t>della giustizia</w:t>
      </w:r>
      <w:r w:rsidR="00672039" w:rsidRPr="00672039">
        <w:rPr>
          <w:rFonts w:ascii="Verdana" w:hAnsi="Verdana"/>
          <w:sz w:val="18"/>
          <w:szCs w:val="18"/>
        </w:rPr>
        <w:t xml:space="preserve"> </w:t>
      </w:r>
    </w:p>
    <w:p w14:paraId="3AAA6484" w14:textId="77777777" w:rsidR="009A644A" w:rsidRDefault="00672039" w:rsidP="0060482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72039">
        <w:rPr>
          <w:rFonts w:ascii="Verdana" w:hAnsi="Verdana"/>
          <w:sz w:val="18"/>
          <w:szCs w:val="18"/>
        </w:rPr>
        <w:t xml:space="preserve">Visto, il Guardasigilli: </w:t>
      </w:r>
      <w:r w:rsidR="00694F8E">
        <w:rPr>
          <w:rFonts w:ascii="Verdana" w:hAnsi="Verdana"/>
          <w:sz w:val="18"/>
          <w:szCs w:val="18"/>
        </w:rPr>
        <w:t>Bonafede</w:t>
      </w:r>
      <w:r w:rsidRPr="00672039">
        <w:rPr>
          <w:rFonts w:ascii="Verdana" w:hAnsi="Verdana"/>
          <w:sz w:val="18"/>
          <w:szCs w:val="18"/>
        </w:rPr>
        <w:t xml:space="preserve"> </w:t>
      </w:r>
    </w:p>
    <w:sectPr w:rsidR="009A644A" w:rsidSect="0038266E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0466" w14:textId="77777777" w:rsidR="00694F8E" w:rsidRDefault="00694F8E" w:rsidP="00672039">
      <w:pPr>
        <w:spacing w:after="0" w:line="240" w:lineRule="auto"/>
      </w:pPr>
      <w:r>
        <w:separator/>
      </w:r>
    </w:p>
  </w:endnote>
  <w:endnote w:type="continuationSeparator" w:id="0">
    <w:p w14:paraId="0D4E8D27" w14:textId="77777777" w:rsidR="00694F8E" w:rsidRDefault="00694F8E" w:rsidP="006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9BA6" w14:textId="247A261A" w:rsidR="00417F57" w:rsidRPr="00417F57" w:rsidRDefault="00417F57" w:rsidP="00417F57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 xml:space="preserve">Ultimo aggiornamento: </w:t>
    </w:r>
    <w:r w:rsidR="001A53C5">
      <w:rPr>
        <w:rFonts w:ascii="Verdana" w:hAnsi="Verdana"/>
        <w:i/>
        <w:sz w:val="17"/>
        <w:szCs w:val="17"/>
      </w:rPr>
      <w:t>01</w:t>
    </w:r>
    <w:r>
      <w:rPr>
        <w:rFonts w:ascii="Verdana" w:hAnsi="Verdana"/>
        <w:i/>
        <w:sz w:val="17"/>
        <w:szCs w:val="17"/>
      </w:rPr>
      <w:t>/0</w:t>
    </w:r>
    <w:r w:rsidR="001A53C5">
      <w:rPr>
        <w:rFonts w:ascii="Verdana" w:hAnsi="Verdana"/>
        <w:i/>
        <w:sz w:val="17"/>
        <w:szCs w:val="17"/>
      </w:rPr>
      <w:t>8</w:t>
    </w:r>
    <w:r>
      <w:rPr>
        <w:rFonts w:ascii="Verdana" w:hAnsi="Verdana"/>
        <w:i/>
        <w:sz w:val="17"/>
        <w:szCs w:val="17"/>
      </w:rPr>
      <w:t>/20</w:t>
    </w:r>
    <w:r w:rsidR="001A53C5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4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FF89" w14:textId="77777777" w:rsidR="00694F8E" w:rsidRDefault="00694F8E" w:rsidP="00672039">
      <w:pPr>
        <w:spacing w:after="0" w:line="240" w:lineRule="auto"/>
      </w:pPr>
      <w:r>
        <w:separator/>
      </w:r>
    </w:p>
  </w:footnote>
  <w:footnote w:type="continuationSeparator" w:id="0">
    <w:p w14:paraId="16912E0D" w14:textId="77777777" w:rsidR="00694F8E" w:rsidRDefault="00694F8E" w:rsidP="00672039">
      <w:pPr>
        <w:spacing w:after="0" w:line="240" w:lineRule="auto"/>
      </w:pPr>
      <w:r>
        <w:continuationSeparator/>
      </w:r>
    </w:p>
  </w:footnote>
  <w:footnote w:id="1">
    <w:p w14:paraId="68541ADF" w14:textId="0C215E4F" w:rsidR="006B0D04" w:rsidRDefault="006B0D04" w:rsidP="006B0D04">
      <w:pPr>
        <w:pStyle w:val="Testonotaapidipagina"/>
        <w:jc w:val="both"/>
      </w:pPr>
      <w:r w:rsidRPr="006B0D04">
        <w:rPr>
          <w:rStyle w:val="Rimandonotaapidipagina"/>
          <w:rFonts w:ascii="Verdana" w:hAnsi="Verdana"/>
          <w:sz w:val="16"/>
          <w:szCs w:val="16"/>
        </w:rPr>
        <w:footnoteRef/>
      </w:r>
      <w:r w:rsidRPr="006B0D04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Il D.L. 30 aprile 2019, n. 34, convertito con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modificazioni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dalla</w:t>
      </w:r>
      <w:r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L. 28 giugno 2019, n. 58, ha disposto (con l'art. 43, comma 4) che "I</w:t>
      </w:r>
      <w:r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termini di cui all'articolo 1, comma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28-bis,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primo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periodo,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della</w:t>
      </w:r>
      <w:r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legge 9 gennaio 2019, n. 3, si applicano agli adempimenti relativi ad</w:t>
      </w:r>
      <w:r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elargizioni,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finanziamenti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e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contributi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ricevuti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a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partire</w:t>
      </w:r>
      <w:r w:rsidR="00E5525A"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dal</w:t>
      </w:r>
      <w:r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centoventesimo giorno successivo alla data di entrata in vigore della</w:t>
      </w:r>
      <w:r>
        <w:rPr>
          <w:rFonts w:ascii="Verdana" w:hAnsi="Verdana"/>
          <w:sz w:val="16"/>
          <w:szCs w:val="16"/>
        </w:rPr>
        <w:t xml:space="preserve"> </w:t>
      </w:r>
      <w:r w:rsidRPr="006B0D04">
        <w:rPr>
          <w:rFonts w:ascii="Verdana" w:hAnsi="Verdana"/>
          <w:sz w:val="16"/>
          <w:szCs w:val="16"/>
        </w:rPr>
        <w:t>medesima legge".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694F8E" w14:paraId="0E00FEE6" w14:textId="77777777" w:rsidTr="006D7854">
      <w:tc>
        <w:tcPr>
          <w:tcW w:w="3505" w:type="dxa"/>
          <w:shd w:val="clear" w:color="auto" w:fill="auto"/>
          <w:vAlign w:val="center"/>
        </w:tcPr>
        <w:p w14:paraId="566652CF" w14:textId="608AD980" w:rsidR="00694F8E" w:rsidRPr="00A47199" w:rsidRDefault="001A53C5" w:rsidP="006D7854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9C6FE28" wp14:editId="72112BA1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2E83B69A" w14:textId="77777777" w:rsidR="00694F8E" w:rsidRPr="00A47199" w:rsidRDefault="00694F8E" w:rsidP="006D7854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1E408E" wp14:editId="139F55E4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F85EF" w14:textId="77777777" w:rsidR="00694F8E" w:rsidRDefault="00694F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A5"/>
    <w:rsid w:val="000B473D"/>
    <w:rsid w:val="001A53C5"/>
    <w:rsid w:val="001F441E"/>
    <w:rsid w:val="003300A5"/>
    <w:rsid w:val="0038266E"/>
    <w:rsid w:val="00417F57"/>
    <w:rsid w:val="00430C55"/>
    <w:rsid w:val="00432DC6"/>
    <w:rsid w:val="0045133E"/>
    <w:rsid w:val="004554CF"/>
    <w:rsid w:val="005C5686"/>
    <w:rsid w:val="0060482F"/>
    <w:rsid w:val="00672039"/>
    <w:rsid w:val="00694F8E"/>
    <w:rsid w:val="006B0D04"/>
    <w:rsid w:val="006D7854"/>
    <w:rsid w:val="00764FAE"/>
    <w:rsid w:val="00891F9D"/>
    <w:rsid w:val="008B2C67"/>
    <w:rsid w:val="009A644A"/>
    <w:rsid w:val="009C215F"/>
    <w:rsid w:val="00AA7205"/>
    <w:rsid w:val="00B06606"/>
    <w:rsid w:val="00BA43A2"/>
    <w:rsid w:val="00C365BF"/>
    <w:rsid w:val="00C90770"/>
    <w:rsid w:val="00C97DBC"/>
    <w:rsid w:val="00D02F77"/>
    <w:rsid w:val="00D6715A"/>
    <w:rsid w:val="00DC31A4"/>
    <w:rsid w:val="00E5525A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D14B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39"/>
  </w:style>
  <w:style w:type="paragraph" w:styleId="Pidipagina">
    <w:name w:val="footer"/>
    <w:basedOn w:val="Normale"/>
    <w:link w:val="PidipaginaCarattere"/>
    <w:uiPriority w:val="99"/>
    <w:unhideWhenUsed/>
    <w:qFormat/>
    <w:rsid w:val="0067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4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4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818-F6D1-4C6E-9EED-0357894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2022-08-01T11:56:00Z</dcterms:created>
  <dcterms:modified xsi:type="dcterms:W3CDTF">2022-08-01T11:56:00Z</dcterms:modified>
</cp:coreProperties>
</file>