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B7" w:rsidRPr="000503B7" w:rsidRDefault="009244E3" w:rsidP="007666B4">
      <w:pPr>
        <w:tabs>
          <w:tab w:val="left" w:pos="426"/>
        </w:tabs>
        <w:jc w:val="both"/>
        <w:rPr>
          <w:rFonts w:ascii="Verdana" w:hAnsi="Verdana"/>
          <w:b/>
          <w:color w:val="4E3F85"/>
          <w:sz w:val="20"/>
          <w:szCs w:val="20"/>
        </w:rPr>
      </w:pPr>
      <w:r w:rsidRPr="009244E3">
        <w:rPr>
          <w:rFonts w:ascii="Verdana" w:hAnsi="Verdana"/>
          <w:b/>
          <w:color w:val="4E3F85"/>
          <w:sz w:val="20"/>
          <w:szCs w:val="20"/>
        </w:rPr>
        <w:t xml:space="preserve">LEGGE REGIONALE STATUTARIA 17 </w:t>
      </w:r>
      <w:r>
        <w:rPr>
          <w:rFonts w:ascii="Verdana" w:hAnsi="Verdana"/>
          <w:b/>
          <w:color w:val="4E3F85"/>
          <w:sz w:val="20"/>
          <w:szCs w:val="20"/>
        </w:rPr>
        <w:t>aprile</w:t>
      </w:r>
      <w:r w:rsidRPr="009244E3">
        <w:rPr>
          <w:rFonts w:ascii="Verdana" w:hAnsi="Verdana"/>
          <w:b/>
          <w:color w:val="4E3F85"/>
          <w:sz w:val="20"/>
          <w:szCs w:val="20"/>
        </w:rPr>
        <w:t xml:space="preserve"> 2012, </w:t>
      </w:r>
      <w:r>
        <w:rPr>
          <w:rFonts w:ascii="Verdana" w:hAnsi="Verdana"/>
          <w:b/>
          <w:color w:val="4E3F85"/>
          <w:sz w:val="20"/>
          <w:szCs w:val="20"/>
        </w:rPr>
        <w:t>n</w:t>
      </w:r>
      <w:r w:rsidRPr="009244E3">
        <w:rPr>
          <w:rFonts w:ascii="Verdana" w:hAnsi="Verdana"/>
          <w:b/>
          <w:color w:val="4E3F85"/>
          <w:sz w:val="20"/>
          <w:szCs w:val="20"/>
        </w:rPr>
        <w:t>. 1</w:t>
      </w:r>
      <w:r w:rsidR="001A2180">
        <w:rPr>
          <w:rStyle w:val="Rimandonotaapidipagina"/>
          <w:rFonts w:ascii="Verdana" w:hAnsi="Verdana"/>
          <w:sz w:val="18"/>
          <w:szCs w:val="18"/>
        </w:rPr>
        <w:footnoteReference w:id="1"/>
      </w:r>
    </w:p>
    <w:p w:rsidR="000503B7" w:rsidRPr="009244E3" w:rsidRDefault="009244E3" w:rsidP="007666B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9244E3">
        <w:rPr>
          <w:rFonts w:ascii="Verdana" w:hAnsi="Verdana"/>
          <w:sz w:val="20"/>
          <w:szCs w:val="20"/>
        </w:rPr>
        <w:t>Statuto del Veneto</w:t>
      </w:r>
    </w:p>
    <w:p w:rsidR="009244E3" w:rsidRPr="000503B7" w:rsidRDefault="009244E3" w:rsidP="007666B4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9244E3" w:rsidRPr="009244E3" w:rsidRDefault="009244E3" w:rsidP="009244E3">
      <w:pPr>
        <w:tabs>
          <w:tab w:val="left" w:pos="426"/>
        </w:tabs>
        <w:spacing w:after="120"/>
        <w:rPr>
          <w:rFonts w:ascii="Verdana" w:hAnsi="Verdana"/>
          <w:b/>
          <w:color w:val="993366"/>
          <w:sz w:val="18"/>
          <w:szCs w:val="18"/>
        </w:rPr>
      </w:pPr>
      <w:r w:rsidRPr="009244E3">
        <w:rPr>
          <w:rFonts w:ascii="Verdana" w:hAnsi="Verdana"/>
          <w:b/>
          <w:color w:val="993366"/>
          <w:sz w:val="18"/>
          <w:szCs w:val="18"/>
        </w:rPr>
        <w:t xml:space="preserve">CAPO IV - Referendum </w:t>
      </w:r>
    </w:p>
    <w:p w:rsidR="009244E3" w:rsidRPr="009244E3" w:rsidRDefault="009244E3" w:rsidP="009244E3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  <w:r w:rsidRPr="009244E3">
        <w:rPr>
          <w:rFonts w:ascii="Verdana" w:hAnsi="Verdana"/>
          <w:b/>
          <w:color w:val="1F497D" w:themeColor="text2"/>
          <w:sz w:val="18"/>
          <w:szCs w:val="18"/>
        </w:rPr>
        <w:t xml:space="preserve">Art. 25 - Referendum.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La legge regionale disciplina i limiti di ammissibilità, il procedimento, le modalità attuative e gli effetti del referendum. Il giudizio sulla ricevibilità e sulla ammissibilità delle richieste di referendum è di competenza della commissione di garanzia statutaria. </w:t>
      </w:r>
    </w:p>
    <w:p w:rsidR="009244E3" w:rsidRDefault="009244E3" w:rsidP="009244E3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La legge regionale prevede la garanzia dell’informazione sui referendum indetti assicurando un’adeguata attività di comunicazione ai favorevoli e ai contrari al quesito referendario. </w:t>
      </w:r>
    </w:p>
    <w:p w:rsidR="009244E3" w:rsidRDefault="009244E3" w:rsidP="009244E3">
      <w:pPr>
        <w:tabs>
          <w:tab w:val="left" w:pos="426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9244E3" w:rsidRPr="009244E3" w:rsidRDefault="009244E3" w:rsidP="009244E3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  <w:r w:rsidRPr="009244E3">
        <w:rPr>
          <w:rFonts w:ascii="Verdana" w:hAnsi="Verdana"/>
          <w:b/>
          <w:color w:val="1F497D" w:themeColor="text2"/>
          <w:sz w:val="18"/>
          <w:szCs w:val="18"/>
        </w:rPr>
        <w:t xml:space="preserve">Art. 26 - Referendum abrogativo. </w:t>
      </w:r>
    </w:p>
    <w:p w:rsidR="009244E3" w:rsidRPr="009244E3" w:rsidRDefault="009244E3" w:rsidP="009244E3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Il Presidente della Regione indice referendum per l’abrogazione, totale o parziale, di una legge o di un regolamento o di un atto amministrativo di interesse generale quando lo richiedono: </w:t>
      </w:r>
    </w:p>
    <w:p w:rsidR="009244E3" w:rsidRPr="009244E3" w:rsidRDefault="009244E3" w:rsidP="009244E3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i/>
          <w:sz w:val="18"/>
          <w:szCs w:val="18"/>
        </w:rPr>
        <w:t>a)</w:t>
      </w:r>
      <w:r w:rsidRPr="009244E3">
        <w:rPr>
          <w:rFonts w:ascii="Verdana" w:hAnsi="Verdana"/>
          <w:sz w:val="18"/>
          <w:szCs w:val="18"/>
        </w:rPr>
        <w:t xml:space="preserve"> quarantamila elettori; </w:t>
      </w:r>
    </w:p>
    <w:p w:rsidR="009244E3" w:rsidRPr="009244E3" w:rsidRDefault="009244E3" w:rsidP="009244E3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i/>
          <w:sz w:val="18"/>
          <w:szCs w:val="18"/>
        </w:rPr>
        <w:t>b)</w:t>
      </w:r>
      <w:r w:rsidRPr="009244E3">
        <w:rPr>
          <w:rFonts w:ascii="Verdana" w:hAnsi="Verdana"/>
          <w:sz w:val="18"/>
          <w:szCs w:val="18"/>
        </w:rPr>
        <w:t xml:space="preserve"> non meno di venti consigli comunali che rappresentino almeno un decimo della popolazione regionale;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i/>
          <w:sz w:val="18"/>
          <w:szCs w:val="18"/>
        </w:rPr>
        <w:t>c)</w:t>
      </w:r>
      <w:r w:rsidRPr="009244E3">
        <w:rPr>
          <w:rFonts w:ascii="Verdana" w:hAnsi="Verdana"/>
          <w:sz w:val="18"/>
          <w:szCs w:val="18"/>
        </w:rPr>
        <w:t xml:space="preserve"> non meno di tre consigli provinciali.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Partecipano al referendum i cittadini iscritti nelle liste elettorali dei comuni della Regione.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La proposta soggetta a referendum è approvata se alla votazione ha partecipato la maggioranza degli aventi diritto ed è stata raggiunta la maggioranza dei voti validamente espressi. </w:t>
      </w:r>
    </w:p>
    <w:p w:rsidR="009244E3" w:rsidRPr="009244E3" w:rsidRDefault="009244E3" w:rsidP="009244E3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Non è ammesso il referendum per l’abrogazione: </w:t>
      </w:r>
    </w:p>
    <w:p w:rsidR="009244E3" w:rsidRPr="009244E3" w:rsidRDefault="009244E3" w:rsidP="009244E3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i/>
          <w:sz w:val="18"/>
          <w:szCs w:val="18"/>
        </w:rPr>
        <w:t>a)</w:t>
      </w:r>
      <w:r w:rsidRPr="009244E3">
        <w:rPr>
          <w:rFonts w:ascii="Verdana" w:hAnsi="Verdana"/>
          <w:sz w:val="18"/>
          <w:szCs w:val="18"/>
        </w:rPr>
        <w:t xml:space="preserve"> delle leggi tributarie e di bilancio e dei relativi provvedimenti di attuazione; </w:t>
      </w:r>
    </w:p>
    <w:p w:rsidR="009244E3" w:rsidRPr="009244E3" w:rsidRDefault="009244E3" w:rsidP="009244E3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i/>
          <w:sz w:val="18"/>
          <w:szCs w:val="18"/>
        </w:rPr>
        <w:t>b)</w:t>
      </w:r>
      <w:r w:rsidRPr="009244E3">
        <w:rPr>
          <w:rFonts w:ascii="Verdana" w:hAnsi="Verdana"/>
          <w:sz w:val="18"/>
          <w:szCs w:val="18"/>
        </w:rPr>
        <w:t xml:space="preserve"> delle leggi e degli atti regionali i cui contenuti costituiscano adempimento di obblighi costituzionali, internazionali, europei; </w:t>
      </w:r>
    </w:p>
    <w:p w:rsidR="009244E3" w:rsidRPr="009244E3" w:rsidRDefault="009244E3" w:rsidP="009244E3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i/>
          <w:sz w:val="18"/>
          <w:szCs w:val="18"/>
        </w:rPr>
        <w:t>c)</w:t>
      </w:r>
      <w:r w:rsidRPr="009244E3">
        <w:rPr>
          <w:rFonts w:ascii="Verdana" w:hAnsi="Verdana"/>
          <w:sz w:val="18"/>
          <w:szCs w:val="18"/>
        </w:rPr>
        <w:t xml:space="preserve"> delle leggi e degli atti amministrativi regionali che disciplinano gli organi a rilevanza statutaria; </w:t>
      </w:r>
    </w:p>
    <w:p w:rsidR="009244E3" w:rsidRPr="009244E3" w:rsidRDefault="009244E3" w:rsidP="009244E3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i/>
          <w:sz w:val="18"/>
          <w:szCs w:val="18"/>
        </w:rPr>
        <w:t>d)</w:t>
      </w:r>
      <w:r w:rsidRPr="009244E3">
        <w:rPr>
          <w:rFonts w:ascii="Verdana" w:hAnsi="Verdana"/>
          <w:sz w:val="18"/>
          <w:szCs w:val="18"/>
        </w:rPr>
        <w:t xml:space="preserve"> delle leggi e dei regolamenti concernenti accordi o intese di carattere internazionale o con </w:t>
      </w:r>
      <w:bookmarkStart w:id="0" w:name="_GoBack"/>
      <w:bookmarkEnd w:id="0"/>
      <w:r w:rsidRPr="009244E3">
        <w:rPr>
          <w:rFonts w:ascii="Verdana" w:hAnsi="Verdana"/>
          <w:sz w:val="18"/>
          <w:szCs w:val="18"/>
        </w:rPr>
        <w:t xml:space="preserve">altre regioni;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i/>
          <w:sz w:val="18"/>
          <w:szCs w:val="18"/>
        </w:rPr>
        <w:t>e)</w:t>
      </w:r>
      <w:r w:rsidRPr="009244E3">
        <w:rPr>
          <w:rFonts w:ascii="Verdana" w:hAnsi="Verdana"/>
          <w:sz w:val="18"/>
          <w:szCs w:val="18"/>
        </w:rPr>
        <w:t xml:space="preserve"> del Regolamento.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Sono comunque inammissibili le richieste di referendum aventi quesiti non omogenei. </w:t>
      </w:r>
    </w:p>
    <w:p w:rsidR="009244E3" w:rsidRDefault="009244E3" w:rsidP="009244E3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ab/>
        <w:t>N</w:t>
      </w:r>
      <w:r w:rsidRPr="009244E3">
        <w:rPr>
          <w:rFonts w:ascii="Verdana" w:hAnsi="Verdana"/>
          <w:sz w:val="18"/>
          <w:szCs w:val="18"/>
        </w:rPr>
        <w:t xml:space="preserve">el caso in cui un referendum abbia dato esito negativo, la stessa richiesta non può essere presentata prima che siano trascorsi cinque anni dalla data di proclamazione del risultato. </w:t>
      </w:r>
    </w:p>
    <w:p w:rsidR="009244E3" w:rsidRPr="009244E3" w:rsidRDefault="009244E3" w:rsidP="009244E3">
      <w:pPr>
        <w:tabs>
          <w:tab w:val="left" w:pos="426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9244E3" w:rsidRPr="009244E3" w:rsidRDefault="009244E3" w:rsidP="009244E3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  <w:r w:rsidRPr="009244E3">
        <w:rPr>
          <w:rFonts w:ascii="Verdana" w:hAnsi="Verdana"/>
          <w:b/>
          <w:color w:val="1F497D" w:themeColor="text2"/>
          <w:sz w:val="18"/>
          <w:szCs w:val="18"/>
        </w:rPr>
        <w:t xml:space="preserve">Art. 27 - Referendum consultivo.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Il Consiglio regionale può deliberare l’indizione di referendum consultivi delle popolazioni interessate su provvedimenti o proposte di provvedimenti di competenza del Consiglio, </w:t>
      </w:r>
      <w:r w:rsidRPr="009244E3">
        <w:rPr>
          <w:rFonts w:ascii="Verdana" w:hAnsi="Verdana"/>
          <w:sz w:val="18"/>
          <w:szCs w:val="18"/>
        </w:rPr>
        <w:lastRenderedPageBreak/>
        <w:t xml:space="preserve">quando lo richiedono il Consiglio regionale o cittadini o enti locali, secondo quanto previsto dalla legge regionale.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Se alla votazione ha partecipato la maggioranza degli aventi diritto, il Consiglio è tenuto ad esaminare l’argomento entro novanta giorni dalla proclamazione dei risultati e a motivare le decisioni eventualmente adottate in difformità. </w:t>
      </w:r>
    </w:p>
    <w:p w:rsidR="009244E3" w:rsidRPr="009244E3" w:rsidRDefault="009244E3" w:rsidP="009244E3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 xml:space="preserve">Non è ammesso referendum consultivo nei casi previsti dall’articolo 26, commi 4 e 5. </w:t>
      </w:r>
    </w:p>
    <w:p w:rsidR="009244E3" w:rsidRDefault="009244E3" w:rsidP="009244E3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9244E3">
        <w:rPr>
          <w:rFonts w:ascii="Verdana" w:hAnsi="Verdana"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ab/>
      </w:r>
      <w:r w:rsidRPr="009244E3">
        <w:rPr>
          <w:rFonts w:ascii="Verdana" w:hAnsi="Verdana"/>
          <w:sz w:val="18"/>
          <w:szCs w:val="18"/>
        </w:rPr>
        <w:t>Sono sottoposti a referendum consultivo delle popolazioni interessate, secondo quanto previsto dalla legge, i progetti di legge concernenti l’istituzione di nuovi comuni e i mutamenti delle circoscrizioni o delle denominazioni comunali.</w:t>
      </w:r>
    </w:p>
    <w:sectPr w:rsidR="009244E3" w:rsidSect="00D85C1C">
      <w:headerReference w:type="default" r:id="rId8"/>
      <w:footerReference w:type="default" r:id="rId9"/>
      <w:pgSz w:w="11906" w:h="16838" w:code="9"/>
      <w:pgMar w:top="141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B4" w:rsidRDefault="007666B4" w:rsidP="00BF4639">
      <w:pPr>
        <w:spacing w:after="0" w:line="240" w:lineRule="auto"/>
      </w:pPr>
      <w:r>
        <w:separator/>
      </w:r>
    </w:p>
  </w:endnote>
  <w:endnote w:type="continuationSeparator" w:id="0">
    <w:p w:rsidR="007666B4" w:rsidRDefault="007666B4" w:rsidP="00BF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5B" w:rsidRPr="001B465B" w:rsidRDefault="001B465B" w:rsidP="001B465B">
    <w:pPr>
      <w:pStyle w:val="Pidipagina"/>
      <w:tabs>
        <w:tab w:val="right" w:pos="8505"/>
      </w:tabs>
      <w:rPr>
        <w:rFonts w:ascii="Verdana" w:hAnsi="Verdana"/>
        <w:sz w:val="17"/>
        <w:szCs w:val="17"/>
      </w:rPr>
    </w:pPr>
    <w:r w:rsidRPr="001B465B">
      <w:rPr>
        <w:rFonts w:ascii="Verdana" w:hAnsi="Verdana"/>
        <w:sz w:val="17"/>
        <w:szCs w:val="17"/>
      </w:rPr>
      <w:t>Ultimo aggiornamento: 24/08/2018</w:t>
    </w:r>
    <w:r w:rsidRPr="001B465B">
      <w:rPr>
        <w:rFonts w:ascii="Verdana" w:hAnsi="Verdana"/>
        <w:sz w:val="17"/>
        <w:szCs w:val="17"/>
      </w:rPr>
      <w:tab/>
    </w:r>
    <w:r w:rsidRPr="001B465B">
      <w:rPr>
        <w:rFonts w:ascii="Verdana" w:hAnsi="Verdana"/>
        <w:sz w:val="17"/>
        <w:szCs w:val="17"/>
      </w:rPr>
      <w:tab/>
    </w:r>
    <w:r w:rsidRPr="001B465B">
      <w:rPr>
        <w:rFonts w:ascii="Verdana" w:hAnsi="Verdana"/>
        <w:sz w:val="17"/>
        <w:szCs w:val="17"/>
      </w:rPr>
      <w:fldChar w:fldCharType="begin"/>
    </w:r>
    <w:r w:rsidRPr="001B465B">
      <w:rPr>
        <w:rFonts w:ascii="Verdana" w:hAnsi="Verdana"/>
        <w:sz w:val="17"/>
        <w:szCs w:val="17"/>
      </w:rPr>
      <w:instrText>PAGE   \* MERGEFORMAT</w:instrText>
    </w:r>
    <w:r w:rsidRPr="001B465B">
      <w:rPr>
        <w:rFonts w:ascii="Verdana" w:hAnsi="Verdana"/>
        <w:sz w:val="17"/>
        <w:szCs w:val="17"/>
      </w:rPr>
      <w:fldChar w:fldCharType="separate"/>
    </w:r>
    <w:r>
      <w:rPr>
        <w:rFonts w:ascii="Verdana" w:hAnsi="Verdana"/>
        <w:noProof/>
        <w:sz w:val="17"/>
        <w:szCs w:val="17"/>
      </w:rPr>
      <w:t>2</w:t>
    </w:r>
    <w:r w:rsidRPr="001B465B">
      <w:rPr>
        <w:rFonts w:ascii="Verdana" w:hAnsi="Verdana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B4" w:rsidRDefault="007666B4" w:rsidP="00BF4639">
      <w:pPr>
        <w:spacing w:after="0" w:line="240" w:lineRule="auto"/>
      </w:pPr>
      <w:r>
        <w:separator/>
      </w:r>
    </w:p>
  </w:footnote>
  <w:footnote w:type="continuationSeparator" w:id="0">
    <w:p w:rsidR="007666B4" w:rsidRDefault="007666B4" w:rsidP="00BF4639">
      <w:pPr>
        <w:spacing w:after="0" w:line="240" w:lineRule="auto"/>
      </w:pPr>
      <w:r>
        <w:continuationSeparator/>
      </w:r>
    </w:p>
  </w:footnote>
  <w:footnote w:id="1">
    <w:p w:rsidR="001A2180" w:rsidRPr="001A2180" w:rsidRDefault="001A2180" w:rsidP="001B465B">
      <w:pPr>
        <w:pStyle w:val="Testonotaapidipagina"/>
        <w:spacing w:line="276" w:lineRule="auto"/>
        <w:jc w:val="both"/>
        <w:rPr>
          <w:rFonts w:ascii="Verdana" w:hAnsi="Verdana"/>
          <w:sz w:val="16"/>
          <w:szCs w:val="16"/>
        </w:rPr>
      </w:pPr>
      <w:r w:rsidRPr="001A2180">
        <w:rPr>
          <w:rStyle w:val="Rimandonotaapidipagina"/>
          <w:rFonts w:ascii="Verdana" w:hAnsi="Verdana"/>
          <w:sz w:val="16"/>
          <w:szCs w:val="16"/>
        </w:rPr>
        <w:footnoteRef/>
      </w:r>
      <w:r w:rsidRPr="001A2180">
        <w:rPr>
          <w:rFonts w:ascii="Verdana" w:hAnsi="Verdana"/>
          <w:sz w:val="16"/>
          <w:szCs w:val="16"/>
        </w:rPr>
        <w:t xml:space="preserve"> Estratto limitato ai soli articoli di interesse per i referendum.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05"/>
      <w:gridCol w:w="5108"/>
    </w:tblGrid>
    <w:tr w:rsidR="00211CED" w:rsidTr="00CB0A03">
      <w:tc>
        <w:tcPr>
          <w:tcW w:w="3505" w:type="dxa"/>
          <w:vAlign w:val="center"/>
          <w:hideMark/>
        </w:tcPr>
        <w:p w:rsidR="00211CED" w:rsidRDefault="00211CED" w:rsidP="00CB0A03">
          <w:pPr>
            <w:rPr>
              <w:rFonts w:ascii="Verdana" w:hAnsi="Verdana"/>
              <w:b/>
              <w:noProof/>
              <w:sz w:val="26"/>
              <w:szCs w:val="26"/>
              <w:lang w:eastAsia="it-IT"/>
            </w:rPr>
          </w:pPr>
          <w:r>
            <w:rPr>
              <w:rFonts w:ascii="Verdana" w:hAnsi="Verdana"/>
              <w:b/>
              <w:noProof/>
              <w:sz w:val="26"/>
              <w:szCs w:val="26"/>
              <w:lang w:eastAsia="it-IT"/>
            </w:rPr>
            <w:drawing>
              <wp:inline distT="0" distB="0" distL="0" distR="0" wp14:anchorId="10625976" wp14:editId="280EC907">
                <wp:extent cx="2042160" cy="40386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  <w:hideMark/>
        </w:tcPr>
        <w:p w:rsidR="00211CED" w:rsidRDefault="00211CED" w:rsidP="00CB0A03">
          <w:pPr>
            <w:jc w:val="right"/>
            <w:rPr>
              <w:rFonts w:ascii="Verdana" w:hAnsi="Verdana"/>
              <w:b/>
              <w:noProof/>
              <w:sz w:val="26"/>
              <w:szCs w:val="26"/>
              <w:lang w:eastAsia="it-IT"/>
            </w:rPr>
          </w:pPr>
          <w:r>
            <w:rPr>
              <w:rFonts w:ascii="Verdana" w:hAnsi="Verdana"/>
              <w:b/>
              <w:noProof/>
              <w:sz w:val="26"/>
              <w:szCs w:val="26"/>
              <w:lang w:eastAsia="it-IT"/>
            </w:rPr>
            <w:drawing>
              <wp:inline distT="0" distB="0" distL="0" distR="0" wp14:anchorId="5A42DE1E" wp14:editId="5250172A">
                <wp:extent cx="739140" cy="624840"/>
                <wp:effectExtent l="0" t="0" r="3810" b="381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1CED" w:rsidRDefault="00211C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B7"/>
    <w:rsid w:val="000060F4"/>
    <w:rsid w:val="000503B7"/>
    <w:rsid w:val="000816D4"/>
    <w:rsid w:val="0008629B"/>
    <w:rsid w:val="000D3251"/>
    <w:rsid w:val="0014397C"/>
    <w:rsid w:val="00185F03"/>
    <w:rsid w:val="001A2180"/>
    <w:rsid w:val="001B465B"/>
    <w:rsid w:val="001F0403"/>
    <w:rsid w:val="002017DA"/>
    <w:rsid w:val="00211CED"/>
    <w:rsid w:val="00216957"/>
    <w:rsid w:val="0023176F"/>
    <w:rsid w:val="002908B3"/>
    <w:rsid w:val="002C65D9"/>
    <w:rsid w:val="00326FD5"/>
    <w:rsid w:val="0039521B"/>
    <w:rsid w:val="003F26FB"/>
    <w:rsid w:val="003F627B"/>
    <w:rsid w:val="00411404"/>
    <w:rsid w:val="00445CC2"/>
    <w:rsid w:val="004C437C"/>
    <w:rsid w:val="004C504F"/>
    <w:rsid w:val="004D64A7"/>
    <w:rsid w:val="00507A6E"/>
    <w:rsid w:val="00536DB0"/>
    <w:rsid w:val="005530FE"/>
    <w:rsid w:val="005865C0"/>
    <w:rsid w:val="005A40F1"/>
    <w:rsid w:val="005F5F40"/>
    <w:rsid w:val="00605E92"/>
    <w:rsid w:val="0067731B"/>
    <w:rsid w:val="006C7EE9"/>
    <w:rsid w:val="007431A6"/>
    <w:rsid w:val="007534C2"/>
    <w:rsid w:val="007632CA"/>
    <w:rsid w:val="007638B5"/>
    <w:rsid w:val="007666B4"/>
    <w:rsid w:val="007B326A"/>
    <w:rsid w:val="008E3639"/>
    <w:rsid w:val="008E685C"/>
    <w:rsid w:val="009244E3"/>
    <w:rsid w:val="0094339A"/>
    <w:rsid w:val="009A3353"/>
    <w:rsid w:val="009E2502"/>
    <w:rsid w:val="00A03BF1"/>
    <w:rsid w:val="00AA0B7A"/>
    <w:rsid w:val="00AB23BD"/>
    <w:rsid w:val="00AC0DC8"/>
    <w:rsid w:val="00B240E2"/>
    <w:rsid w:val="00B462D3"/>
    <w:rsid w:val="00B552A3"/>
    <w:rsid w:val="00B975E1"/>
    <w:rsid w:val="00BF4639"/>
    <w:rsid w:val="00D04C43"/>
    <w:rsid w:val="00D572B0"/>
    <w:rsid w:val="00D85C1C"/>
    <w:rsid w:val="00D9400B"/>
    <w:rsid w:val="00DE346F"/>
    <w:rsid w:val="00DE5E42"/>
    <w:rsid w:val="00E72BD9"/>
    <w:rsid w:val="00E7430B"/>
    <w:rsid w:val="00E84F39"/>
    <w:rsid w:val="00EE5769"/>
    <w:rsid w:val="00F27BE3"/>
    <w:rsid w:val="00F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9A3353"/>
    <w:pPr>
      <w:spacing w:before="6000" w:after="240" w:line="240" w:lineRule="auto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A3353"/>
    <w:pPr>
      <w:spacing w:after="240" w:line="240" w:lineRule="auto"/>
      <w:jc w:val="both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3353"/>
    <w:pPr>
      <w:keepNext/>
      <w:spacing w:before="320" w:after="240" w:line="240" w:lineRule="auto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353"/>
    <w:pPr>
      <w:keepNext/>
      <w:spacing w:before="320" w:after="240" w:line="240" w:lineRule="auto"/>
      <w:jc w:val="both"/>
      <w:outlineLvl w:val="3"/>
    </w:pPr>
    <w:rPr>
      <w:b/>
      <w:i/>
      <w:iCs/>
      <w:sz w:val="24"/>
      <w:szCs w:val="24"/>
    </w:rPr>
  </w:style>
  <w:style w:type="paragraph" w:styleId="Titolo5">
    <w:name w:val="heading 5"/>
    <w:basedOn w:val="Titolo4"/>
    <w:next w:val="Normale"/>
    <w:link w:val="Titolo5Carattere"/>
    <w:uiPriority w:val="99"/>
    <w:qFormat/>
    <w:rsid w:val="009A3353"/>
    <w:pPr>
      <w:outlineLvl w:val="4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9A3353"/>
    <w:rPr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A3353"/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qFormat/>
    <w:rsid w:val="00E72BD9"/>
    <w:pPr>
      <w:tabs>
        <w:tab w:val="center" w:pos="4819"/>
        <w:tab w:val="right" w:pos="9638"/>
      </w:tabs>
      <w:spacing w:after="60" w:line="240" w:lineRule="auto"/>
      <w:jc w:val="both"/>
    </w:pPr>
    <w:rPr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BD9"/>
    <w:rPr>
      <w:rFonts w:ascii="Arial" w:hAnsi="Arial" w:cs="Arial"/>
      <w:i/>
      <w:sz w:val="18"/>
    </w:rPr>
  </w:style>
  <w:style w:type="paragraph" w:styleId="Pidipagina">
    <w:name w:val="footer"/>
    <w:basedOn w:val="Normale"/>
    <w:link w:val="PidipaginaCarattere"/>
    <w:uiPriority w:val="99"/>
    <w:semiHidden/>
    <w:qFormat/>
    <w:rsid w:val="00E72BD9"/>
    <w:pPr>
      <w:tabs>
        <w:tab w:val="center" w:pos="4819"/>
        <w:tab w:val="right" w:pos="9638"/>
      </w:tabs>
      <w:spacing w:after="60" w:line="240" w:lineRule="auto"/>
      <w:jc w:val="both"/>
    </w:pPr>
    <w:rPr>
      <w:i/>
      <w:iCs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BD9"/>
    <w:rPr>
      <w:rFonts w:ascii="Arial" w:hAnsi="Arial" w:cs="Arial"/>
      <w:i/>
      <w:iCs/>
      <w:sz w:val="18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A3353"/>
    <w:rPr>
      <w:b/>
      <w:bCs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A3353"/>
    <w:rPr>
      <w:b/>
      <w:b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A3353"/>
    <w:rPr>
      <w:b/>
      <w:i/>
      <w:iCs/>
      <w:sz w:val="24"/>
      <w:szCs w:val="24"/>
    </w:rPr>
  </w:style>
  <w:style w:type="paragraph" w:customStyle="1" w:styleId="testonoteapidipagina">
    <w:name w:val="testo note a piè di pagina"/>
    <w:basedOn w:val="Normale"/>
    <w:link w:val="testonoteapidipaginaCarattere"/>
    <w:uiPriority w:val="99"/>
    <w:qFormat/>
    <w:rsid w:val="009A3353"/>
    <w:pPr>
      <w:spacing w:after="60" w:line="240" w:lineRule="auto"/>
      <w:jc w:val="both"/>
    </w:pPr>
    <w:rPr>
      <w:i/>
      <w:iCs/>
      <w:color w:val="505050"/>
      <w:sz w:val="18"/>
      <w:szCs w:val="18"/>
    </w:rPr>
  </w:style>
  <w:style w:type="character" w:customStyle="1" w:styleId="testonoteapidipaginaCarattere">
    <w:name w:val="testo note a piè di pagina Carattere"/>
    <w:basedOn w:val="Carpredefinitoparagrafo"/>
    <w:link w:val="testonoteapidipagina"/>
    <w:uiPriority w:val="99"/>
    <w:rsid w:val="009A3353"/>
    <w:rPr>
      <w:i/>
      <w:iCs/>
      <w:color w:val="50505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03B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6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6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63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9A3353"/>
    <w:pPr>
      <w:spacing w:before="6000" w:after="240" w:line="240" w:lineRule="auto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A3353"/>
    <w:pPr>
      <w:spacing w:after="240" w:line="240" w:lineRule="auto"/>
      <w:jc w:val="both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3353"/>
    <w:pPr>
      <w:keepNext/>
      <w:spacing w:before="320" w:after="240" w:line="240" w:lineRule="auto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A3353"/>
    <w:pPr>
      <w:keepNext/>
      <w:spacing w:before="320" w:after="240" w:line="240" w:lineRule="auto"/>
      <w:jc w:val="both"/>
      <w:outlineLvl w:val="3"/>
    </w:pPr>
    <w:rPr>
      <w:b/>
      <w:i/>
      <w:iCs/>
      <w:sz w:val="24"/>
      <w:szCs w:val="24"/>
    </w:rPr>
  </w:style>
  <w:style w:type="paragraph" w:styleId="Titolo5">
    <w:name w:val="heading 5"/>
    <w:basedOn w:val="Titolo4"/>
    <w:next w:val="Normale"/>
    <w:link w:val="Titolo5Carattere"/>
    <w:uiPriority w:val="99"/>
    <w:qFormat/>
    <w:rsid w:val="009A3353"/>
    <w:pPr>
      <w:outlineLvl w:val="4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9A3353"/>
    <w:rPr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A3353"/>
    <w:rPr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qFormat/>
    <w:rsid w:val="00E72BD9"/>
    <w:pPr>
      <w:tabs>
        <w:tab w:val="center" w:pos="4819"/>
        <w:tab w:val="right" w:pos="9638"/>
      </w:tabs>
      <w:spacing w:after="60" w:line="240" w:lineRule="auto"/>
      <w:jc w:val="both"/>
    </w:pPr>
    <w:rPr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BD9"/>
    <w:rPr>
      <w:rFonts w:ascii="Arial" w:hAnsi="Arial" w:cs="Arial"/>
      <w:i/>
      <w:sz w:val="18"/>
    </w:rPr>
  </w:style>
  <w:style w:type="paragraph" w:styleId="Pidipagina">
    <w:name w:val="footer"/>
    <w:basedOn w:val="Normale"/>
    <w:link w:val="PidipaginaCarattere"/>
    <w:uiPriority w:val="99"/>
    <w:semiHidden/>
    <w:qFormat/>
    <w:rsid w:val="00E72BD9"/>
    <w:pPr>
      <w:tabs>
        <w:tab w:val="center" w:pos="4819"/>
        <w:tab w:val="right" w:pos="9638"/>
      </w:tabs>
      <w:spacing w:after="60" w:line="240" w:lineRule="auto"/>
      <w:jc w:val="both"/>
    </w:pPr>
    <w:rPr>
      <w:i/>
      <w:iCs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BD9"/>
    <w:rPr>
      <w:rFonts w:ascii="Arial" w:hAnsi="Arial" w:cs="Arial"/>
      <w:i/>
      <w:iCs/>
      <w:sz w:val="18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A3353"/>
    <w:rPr>
      <w:b/>
      <w:bCs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A3353"/>
    <w:rPr>
      <w:b/>
      <w:b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A3353"/>
    <w:rPr>
      <w:b/>
      <w:i/>
      <w:iCs/>
      <w:sz w:val="24"/>
      <w:szCs w:val="24"/>
    </w:rPr>
  </w:style>
  <w:style w:type="paragraph" w:customStyle="1" w:styleId="testonoteapidipagina">
    <w:name w:val="testo note a piè di pagina"/>
    <w:basedOn w:val="Normale"/>
    <w:link w:val="testonoteapidipaginaCarattere"/>
    <w:uiPriority w:val="99"/>
    <w:qFormat/>
    <w:rsid w:val="009A3353"/>
    <w:pPr>
      <w:spacing w:after="60" w:line="240" w:lineRule="auto"/>
      <w:jc w:val="both"/>
    </w:pPr>
    <w:rPr>
      <w:i/>
      <w:iCs/>
      <w:color w:val="505050"/>
      <w:sz w:val="18"/>
      <w:szCs w:val="18"/>
    </w:rPr>
  </w:style>
  <w:style w:type="character" w:customStyle="1" w:styleId="testonoteapidipaginaCarattere">
    <w:name w:val="testo note a piè di pagina Carattere"/>
    <w:basedOn w:val="Carpredefinitoparagrafo"/>
    <w:link w:val="testonoteapidipagina"/>
    <w:uiPriority w:val="99"/>
    <w:rsid w:val="009A3353"/>
    <w:rPr>
      <w:i/>
      <w:iCs/>
      <w:color w:val="50505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503B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6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6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63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3DB5-A802-4E6D-B20D-C684C775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Menoncello</dc:creator>
  <cp:lastModifiedBy>Serena Menoncello</cp:lastModifiedBy>
  <cp:revision>2</cp:revision>
  <dcterms:created xsi:type="dcterms:W3CDTF">2018-08-24T15:30:00Z</dcterms:created>
  <dcterms:modified xsi:type="dcterms:W3CDTF">2018-08-24T15:30:00Z</dcterms:modified>
</cp:coreProperties>
</file>