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A2" w:rsidRDefault="00B772A2" w:rsidP="00B772A2">
      <w:pPr>
        <w:spacing w:after="0" w:line="240" w:lineRule="auto"/>
        <w:rPr>
          <w:rFonts w:ascii="Times New Roman" w:eastAsia="Times New Roman" w:hAnsi="Times New Roman" w:cs="Times New Roman"/>
          <w:color w:val="000000"/>
          <w:sz w:val="24"/>
          <w:szCs w:val="24"/>
          <w:lang w:eastAsia="it-IT"/>
        </w:rPr>
      </w:pPr>
      <w:r>
        <w:rPr>
          <w:noProof/>
          <w:lang w:eastAsia="it-IT"/>
        </w:rPr>
        <w:drawing>
          <wp:inline distT="0" distB="0" distL="0" distR="0" wp14:anchorId="788B209B" wp14:editId="15205590">
            <wp:extent cx="2819400" cy="6248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19400" cy="624840"/>
                    </a:xfrm>
                    <a:prstGeom prst="rect">
                      <a:avLst/>
                    </a:prstGeom>
                  </pic:spPr>
                </pic:pic>
              </a:graphicData>
            </a:graphic>
          </wp:inline>
        </w:drawing>
      </w:r>
      <w:bookmarkStart w:id="0" w:name="_GoBack"/>
      <w:bookmarkEnd w:id="0"/>
    </w:p>
    <w:p w:rsidR="00B772A2" w:rsidRDefault="00B772A2" w:rsidP="00B772A2">
      <w:pPr>
        <w:spacing w:after="0" w:line="240" w:lineRule="auto"/>
        <w:rPr>
          <w:rFonts w:ascii="Times New Roman" w:eastAsia="Times New Roman" w:hAnsi="Times New Roman" w:cs="Times New Roman"/>
          <w:color w:val="000000"/>
          <w:sz w:val="24"/>
          <w:szCs w:val="24"/>
          <w:lang w:eastAsia="it-IT"/>
        </w:rPr>
      </w:pPr>
    </w:p>
    <w:p w:rsidR="00B772A2" w:rsidRDefault="00B772A2" w:rsidP="00B772A2">
      <w:pPr>
        <w:spacing w:after="0" w:line="240" w:lineRule="auto"/>
        <w:rPr>
          <w:rFonts w:ascii="Times New Roman" w:eastAsia="Times New Roman" w:hAnsi="Times New Roman" w:cs="Times New Roman"/>
          <w:color w:val="000000"/>
          <w:sz w:val="24"/>
          <w:szCs w:val="24"/>
          <w:lang w:eastAsia="it-IT"/>
        </w:rPr>
      </w:pPr>
    </w:p>
    <w:p w:rsidR="00B772A2" w:rsidRDefault="00B772A2" w:rsidP="00B772A2">
      <w:pPr>
        <w:spacing w:after="0" w:line="240" w:lineRule="auto"/>
        <w:rPr>
          <w:rFonts w:ascii="Times New Roman" w:eastAsia="Times New Roman" w:hAnsi="Times New Roman" w:cs="Times New Roman"/>
          <w:color w:val="000000"/>
          <w:sz w:val="24"/>
          <w:szCs w:val="24"/>
          <w:lang w:eastAsia="it-IT"/>
        </w:rPr>
      </w:pPr>
    </w:p>
    <w:p w:rsidR="00B772A2" w:rsidRDefault="00B772A2" w:rsidP="00B772A2">
      <w:pPr>
        <w:spacing w:after="0" w:line="240" w:lineRule="auto"/>
        <w:rPr>
          <w:rFonts w:ascii="Times New Roman" w:eastAsia="Times New Roman" w:hAnsi="Times New Roman" w:cs="Times New Roman"/>
          <w:color w:val="000000"/>
          <w:sz w:val="24"/>
          <w:szCs w:val="24"/>
          <w:lang w:eastAsia="it-IT"/>
        </w:rPr>
      </w:pPr>
    </w:p>
    <w:p w:rsidR="00B772A2" w:rsidRPr="00B772A2" w:rsidRDefault="00B772A2" w:rsidP="00B772A2">
      <w:pPr>
        <w:spacing w:after="0" w:line="240" w:lineRule="auto"/>
        <w:jc w:val="center"/>
        <w:rPr>
          <w:rFonts w:ascii="Times New Roman" w:eastAsia="Times New Roman" w:hAnsi="Times New Roman" w:cs="Times New Roman"/>
          <w:color w:val="000000"/>
          <w:sz w:val="24"/>
          <w:szCs w:val="24"/>
          <w:lang w:eastAsia="it-IT"/>
        </w:rPr>
      </w:pPr>
      <w:r w:rsidRPr="00B772A2">
        <w:rPr>
          <w:rFonts w:ascii="Times New Roman" w:eastAsia="Times New Roman" w:hAnsi="Times New Roman" w:cs="Times New Roman"/>
          <w:noProof/>
          <w:color w:val="000000"/>
          <w:sz w:val="24"/>
          <w:szCs w:val="24"/>
          <w:lang w:eastAsia="it-IT"/>
        </w:rPr>
        <w:drawing>
          <wp:inline distT="0" distB="0" distL="0" distR="0" wp14:anchorId="68A87379" wp14:editId="2162E005">
            <wp:extent cx="5977468" cy="1992489"/>
            <wp:effectExtent l="0" t="0" r="0" b="0"/>
            <wp:docPr id="1" name="Immagine 1" descr="https://www.solidarietaveneto.it/development/solidarietaveneto/contents.nsf/($linkacross)/9DDBDE529ED046F8C125846A003ED383/$file/popol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lidarietaveneto.it/development/solidarietaveneto/contents.nsf/($linkacross)/9DDBDE529ED046F8C125846A003ED383/$file/popolazi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8625" cy="1989541"/>
                    </a:xfrm>
                    <a:prstGeom prst="rect">
                      <a:avLst/>
                    </a:prstGeom>
                    <a:noFill/>
                    <a:ln>
                      <a:noFill/>
                    </a:ln>
                  </pic:spPr>
                </pic:pic>
              </a:graphicData>
            </a:graphic>
          </wp:inline>
        </w:drawing>
      </w:r>
    </w:p>
    <w:p w:rsidR="00B772A2" w:rsidRPr="00B772A2" w:rsidRDefault="00B772A2" w:rsidP="00B772A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B772A2">
        <w:rPr>
          <w:rFonts w:ascii="Times New Roman" w:eastAsia="Times New Roman" w:hAnsi="Times New Roman" w:cs="Times New Roman"/>
          <w:b/>
          <w:bCs/>
          <w:color w:val="000000"/>
          <w:kern w:val="36"/>
          <w:sz w:val="48"/>
          <w:szCs w:val="48"/>
          <w:lang w:eastAsia="it-IT"/>
        </w:rPr>
        <w:t>La recessione demografica innesca la “bomba pensionistica”</w:t>
      </w:r>
    </w:p>
    <w:p w:rsidR="00B772A2" w:rsidRPr="00B772A2" w:rsidRDefault="00B772A2" w:rsidP="00B772A2">
      <w:pPr>
        <w:spacing w:before="100" w:beforeAutospacing="1" w:after="100" w:afterAutospacing="1" w:line="240" w:lineRule="auto"/>
        <w:rPr>
          <w:rFonts w:ascii="Verdana" w:eastAsia="Times New Roman" w:hAnsi="Verdana" w:cs="Times New Roman"/>
          <w:color w:val="000000"/>
          <w:lang w:eastAsia="it-IT"/>
        </w:rPr>
      </w:pPr>
      <w:r w:rsidRPr="00B772A2">
        <w:rPr>
          <w:rFonts w:ascii="Verdana" w:eastAsia="Times New Roman" w:hAnsi="Verdana" w:cs="Times New Roman"/>
          <w:color w:val="000000"/>
          <w:lang w:eastAsia="it-IT"/>
        </w:rPr>
        <w:t>L’impatto dell’invecchiamento sulla previdenza nazionale. Le peculiarità della nostra regione.</w:t>
      </w:r>
    </w:p>
    <w:p w:rsidR="00B772A2" w:rsidRPr="00B772A2" w:rsidRDefault="00B772A2" w:rsidP="00B772A2">
      <w:pPr>
        <w:spacing w:after="0" w:line="240" w:lineRule="auto"/>
        <w:rPr>
          <w:rFonts w:ascii="Verdana" w:eastAsia="Times New Roman" w:hAnsi="Verdana" w:cs="Times New Roman"/>
          <w:color w:val="000000"/>
          <w:lang w:eastAsia="it-IT"/>
        </w:rPr>
      </w:pPr>
      <w:r w:rsidRPr="00B772A2">
        <w:rPr>
          <w:rFonts w:ascii="Verdana" w:eastAsia="Times New Roman" w:hAnsi="Verdana" w:cs="Times New Roman"/>
          <w:color w:val="000000"/>
          <w:lang w:eastAsia="it-IT"/>
        </w:rPr>
        <w:br/>
        <w:t xml:space="preserve">L'Italia è in recessione demografica: nel 2018 sono stati iscritti all’anagrafe quasi 140 mila bambini in meno rispetto a 10 anni fa: la riduzione sfiora il 25%. Lo rileva l’Istat nel Rapporto annuale sull’Italia presentato il 20 giugno scorso. </w:t>
      </w:r>
    </w:p>
    <w:p w:rsidR="00B772A2" w:rsidRPr="00B772A2" w:rsidRDefault="00B772A2" w:rsidP="00B772A2">
      <w:pPr>
        <w:spacing w:after="0" w:line="240" w:lineRule="auto"/>
        <w:jc w:val="center"/>
        <w:rPr>
          <w:rFonts w:ascii="Verdana" w:eastAsia="Times New Roman" w:hAnsi="Verdana" w:cs="Times New Roman"/>
          <w:color w:val="000000"/>
          <w:lang w:eastAsia="it-IT"/>
        </w:rPr>
      </w:pPr>
      <w:r w:rsidRPr="00B772A2">
        <w:rPr>
          <w:rFonts w:ascii="Verdana" w:eastAsia="Times New Roman" w:hAnsi="Verdana" w:cs="Times New Roman"/>
          <w:noProof/>
          <w:color w:val="000000"/>
          <w:lang w:eastAsia="it-IT"/>
        </w:rPr>
        <w:drawing>
          <wp:inline distT="0" distB="0" distL="0" distR="0" wp14:anchorId="616156D0" wp14:editId="6E4C50D0">
            <wp:extent cx="5715000" cy="2324100"/>
            <wp:effectExtent l="0" t="0" r="0" b="0"/>
            <wp:docPr id="2" name="Immagine 2" descr="https://www.solidarietaveneto.it/development/solidarietaveneto/contents.nsf/a0357506a30f54d8c1257ca0004d6098/9ddbde529ed046f8c125846a003ed383/Testo/0.1E4?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lidarietaveneto.it/development/solidarietaveneto/contents.nsf/a0357506a30f54d8c1257ca0004d6098/9ddbde529ed046f8c125846a003ed383/Testo/0.1E4?OpenElement&amp;FieldElemFor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24100"/>
                    </a:xfrm>
                    <a:prstGeom prst="rect">
                      <a:avLst/>
                    </a:prstGeom>
                    <a:noFill/>
                    <a:ln>
                      <a:noFill/>
                    </a:ln>
                  </pic:spPr>
                </pic:pic>
              </a:graphicData>
            </a:graphic>
          </wp:inline>
        </w:drawing>
      </w:r>
      <w:r w:rsidRPr="00B772A2">
        <w:rPr>
          <w:rFonts w:ascii="Verdana" w:eastAsia="Times New Roman" w:hAnsi="Verdana" w:cs="Times New Roman"/>
          <w:i/>
          <w:iCs/>
          <w:color w:val="000000"/>
          <w:lang w:eastAsia="it-IT"/>
        </w:rPr>
        <w:t>Elaborazione dati fonte Rapporto annuale Istat 2019</w:t>
      </w:r>
    </w:p>
    <w:p w:rsidR="00B772A2" w:rsidRPr="00B772A2" w:rsidRDefault="00B772A2" w:rsidP="00B772A2">
      <w:pPr>
        <w:spacing w:after="0" w:line="240" w:lineRule="auto"/>
        <w:rPr>
          <w:rFonts w:ascii="Verdana" w:eastAsia="Times New Roman" w:hAnsi="Verdana" w:cs="Times New Roman"/>
          <w:color w:val="000000"/>
          <w:lang w:eastAsia="it-IT"/>
        </w:rPr>
      </w:pPr>
      <w:r w:rsidRPr="00B772A2">
        <w:rPr>
          <w:rFonts w:ascii="Verdana" w:eastAsia="Times New Roman" w:hAnsi="Verdana" w:cs="Times New Roman"/>
          <w:color w:val="000000"/>
          <w:lang w:eastAsia="it-IT"/>
        </w:rPr>
        <w:br/>
        <w:t xml:space="preserve">Il calo demografico è dovuto principalmente a due cause : </w:t>
      </w:r>
    </w:p>
    <w:p w:rsidR="00B772A2" w:rsidRPr="00B772A2" w:rsidRDefault="00B772A2" w:rsidP="00B772A2">
      <w:pPr>
        <w:numPr>
          <w:ilvl w:val="0"/>
          <w:numId w:val="1"/>
        </w:numPr>
        <w:spacing w:before="100" w:beforeAutospacing="1" w:after="100" w:afterAutospacing="1" w:line="240" w:lineRule="auto"/>
        <w:rPr>
          <w:rFonts w:ascii="Verdana" w:eastAsia="Times New Roman" w:hAnsi="Verdana" w:cs="Times New Roman"/>
          <w:color w:val="000000"/>
          <w:lang w:eastAsia="it-IT"/>
        </w:rPr>
      </w:pPr>
      <w:r w:rsidRPr="00B772A2">
        <w:rPr>
          <w:rFonts w:ascii="Verdana" w:eastAsia="Times New Roman" w:hAnsi="Verdana" w:cs="Times New Roman"/>
          <w:color w:val="000000"/>
          <w:lang w:eastAsia="it-IT"/>
        </w:rPr>
        <w:t xml:space="preserve">la diminuzione delle nascite (il 45% delle donne tra 18 e 49 anni non ha ancora avuto figli); </w:t>
      </w:r>
    </w:p>
    <w:p w:rsidR="00B772A2" w:rsidRPr="00B772A2" w:rsidRDefault="00B772A2" w:rsidP="00B772A2">
      <w:pPr>
        <w:numPr>
          <w:ilvl w:val="0"/>
          <w:numId w:val="1"/>
        </w:numPr>
        <w:spacing w:before="100" w:beforeAutospacing="1" w:after="100" w:afterAutospacing="1" w:line="240" w:lineRule="auto"/>
        <w:rPr>
          <w:rFonts w:ascii="Verdana" w:eastAsia="Times New Roman" w:hAnsi="Verdana" w:cs="Times New Roman"/>
          <w:color w:val="000000"/>
          <w:lang w:eastAsia="it-IT"/>
        </w:rPr>
      </w:pPr>
      <w:r w:rsidRPr="00B772A2">
        <w:rPr>
          <w:rFonts w:ascii="Verdana" w:eastAsia="Times New Roman" w:hAnsi="Verdana" w:cs="Times New Roman"/>
          <w:color w:val="000000"/>
          <w:lang w:eastAsia="it-IT"/>
        </w:rPr>
        <w:lastRenderedPageBreak/>
        <w:t>l'</w:t>
      </w:r>
      <w:r w:rsidRPr="00B772A2">
        <w:rPr>
          <w:rFonts w:ascii="Verdana" w:eastAsia="Times New Roman" w:hAnsi="Verdana" w:cs="Times New Roman"/>
          <w:b/>
          <w:bCs/>
          <w:color w:val="005268"/>
          <w:lang w:eastAsia="it-IT"/>
        </w:rPr>
        <w:t>incremento</w:t>
      </w:r>
      <w:r w:rsidRPr="00B772A2">
        <w:rPr>
          <w:rFonts w:ascii="Verdana" w:eastAsia="Times New Roman" w:hAnsi="Verdana" w:cs="Times New Roman"/>
          <w:color w:val="000000"/>
          <w:lang w:eastAsia="it-IT"/>
        </w:rPr>
        <w:t xml:space="preserve"> dei decessi, che hanno toccato quota 633 mila, in aumento di 50 mila unità.</w:t>
      </w:r>
    </w:p>
    <w:p w:rsidR="00B772A2" w:rsidRDefault="00B772A2" w:rsidP="00B772A2">
      <w:pPr>
        <w:spacing w:after="0" w:line="240" w:lineRule="auto"/>
        <w:rPr>
          <w:rFonts w:ascii="Verdana" w:eastAsia="Times New Roman" w:hAnsi="Verdana" w:cs="Times New Roman"/>
          <w:color w:val="000000"/>
          <w:lang w:eastAsia="it-IT"/>
        </w:rPr>
      </w:pPr>
      <w:r w:rsidRPr="00B772A2">
        <w:rPr>
          <w:rFonts w:ascii="Verdana" w:eastAsia="Times New Roman" w:hAnsi="Verdana" w:cs="Times New Roman"/>
          <w:color w:val="000000"/>
          <w:lang w:eastAsia="it-IT"/>
        </w:rPr>
        <w:br/>
        <w:t>La dinamica demografica, ben rappresentata nel grafico, influenza direttamente l’andamento economico del Paese e mette sotto pressione il sistema pensionistico. Vediamo come.</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r>
      <w:r w:rsidRPr="00B772A2">
        <w:rPr>
          <w:rFonts w:ascii="Verdana" w:eastAsia="Times New Roman" w:hAnsi="Verdana" w:cs="Times New Roman"/>
          <w:b/>
          <w:bCs/>
          <w:color w:val="005268"/>
          <w:lang w:eastAsia="it-IT"/>
        </w:rPr>
        <w:t>L’invecchiamento della popolazione</w:t>
      </w:r>
      <w:r w:rsidRPr="00B772A2">
        <w:rPr>
          <w:rFonts w:ascii="Verdana" w:eastAsia="Times New Roman" w:hAnsi="Verdana" w:cs="Times New Roman"/>
          <w:color w:val="000000"/>
          <w:lang w:eastAsia="it-IT"/>
        </w:rPr>
        <w:br/>
        <w:t>L’Italia contende al Giappone il record mondiale di invecchiamento: nel nostro Paese, ogni 100 persone che hanno meno di 15 anni, ve ne sono circa 168 che superano i 65; il Giappone, con un rapporto di 100/210 (dati al 1° gennaio 2017) ci supera nettamente, ma l’indicatore, nel nostro Paese, si sta incrementando costantemente da anni, in un trend che non dovrebbe mutare anche per il futuro prossimo.</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t xml:space="preserve">Determinante in questo processo, oltra alla denatalità, è l’invecchiamento della più corposa delle coorti, quella dei baby </w:t>
      </w:r>
      <w:proofErr w:type="spellStart"/>
      <w:r w:rsidRPr="00B772A2">
        <w:rPr>
          <w:rFonts w:ascii="Verdana" w:eastAsia="Times New Roman" w:hAnsi="Verdana" w:cs="Times New Roman"/>
          <w:color w:val="000000"/>
          <w:lang w:eastAsia="it-IT"/>
        </w:rPr>
        <w:t>boomers</w:t>
      </w:r>
      <w:proofErr w:type="spellEnd"/>
      <w:r w:rsidRPr="00B772A2">
        <w:rPr>
          <w:rFonts w:ascii="Verdana" w:eastAsia="Times New Roman" w:hAnsi="Verdana" w:cs="Times New Roman"/>
          <w:color w:val="000000"/>
          <w:lang w:eastAsia="it-IT"/>
        </w:rPr>
        <w:t xml:space="preserve"> (i nati nei primi 15 - 20 anni dopo la Seconda guerra mondiale). Si stima che la quota di ultra sessantacinquenni sul totale della popolazione potrebbe essere, nel 2050, tra i 9 e i 14 punti percentuali superiore rispetto al valore del 2018 (22,6%). </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t>Ne consegue che la popolazione residente, sempre nel 2050, potrebbe risultare inferiore a quella odierna, scendendo dai 60,4 milioni del 1° gennaio 2019 ai 60,3 milioni nel 2030. Per gli anni successivi ci si attende un calo anche più accentuato (58,2 milioni la popolazione nel 2050), con una perdita complessiva di 2,2 milioni di residenti rispetto ad oggi.</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r>
      <w:r w:rsidRPr="00B772A2">
        <w:rPr>
          <w:rFonts w:ascii="Verdana" w:eastAsia="Times New Roman" w:hAnsi="Verdana" w:cs="Times New Roman"/>
          <w:b/>
          <w:bCs/>
          <w:color w:val="005268"/>
          <w:lang w:eastAsia="it-IT"/>
        </w:rPr>
        <w:t>Bomba pensionistica?</w:t>
      </w:r>
      <w:r w:rsidRPr="00B772A2">
        <w:rPr>
          <w:rFonts w:ascii="Verdana" w:eastAsia="Times New Roman" w:hAnsi="Verdana" w:cs="Times New Roman"/>
          <w:color w:val="000000"/>
          <w:lang w:eastAsia="it-IT"/>
        </w:rPr>
        <w:br/>
        <w:t xml:space="preserve">Questi fenomeni incideranno in modo particolare anche sulla </w:t>
      </w:r>
      <w:r w:rsidRPr="00B772A2">
        <w:rPr>
          <w:rFonts w:ascii="Verdana" w:eastAsia="Times New Roman" w:hAnsi="Verdana" w:cs="Times New Roman"/>
          <w:b/>
          <w:bCs/>
          <w:color w:val="005268"/>
          <w:lang w:eastAsia="it-IT"/>
        </w:rPr>
        <w:t>popolazione in età attiva</w:t>
      </w:r>
      <w:r w:rsidRPr="00B772A2">
        <w:rPr>
          <w:rFonts w:ascii="Verdana" w:eastAsia="Times New Roman" w:hAnsi="Verdana" w:cs="Times New Roman"/>
          <w:color w:val="000000"/>
          <w:lang w:eastAsia="it-IT"/>
        </w:rPr>
        <w:t>: nei prossimi anni le coorti in uscita risulteranno numericamente superiori a quelle in ingresso così che, nel 2050, la quota delle persone tra i 15 e i 64 anni potrebbe scendere al 54,2% del totale; l’Italia sarebbe così tra i pochi paesi al mondo a sperimentare una così ragguardevole riduzione (oltre 6 milioni di persone).</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t>Tanti anziani e pochi giovani in attività lavorativa: premessa perfetta per la cosiddetta "bomba pensionistica". Secondo l'Inps, entro il 2040 - quindi fra appena vent'anni - la spesa pensionistica è destinata a raddoppiare. Oggi l’INPS paga 8,6 milioni di assegni al valore nominale medio di 14.700 euro lordi l'anno, per un totale di quasi 143 miliardi. Nel 2039 saranno 9 milioni e 300 mila, con un aumento stimato del 7%. Avranno un valore medio di 27 mila euro lordi, per una spesa complessiva di 297 miliardi.</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t>Denatalità ed invecchiamento, incremento dei pensionati e riduzione della popolazione attiva: una prospettiva insidiosa per le finanze pubbliche (e dunque per i cittadini che le alimentano attraverso tasse e contributi), alla quale si aggiungono le sfide dettate dallo scenario economico interno e dalla competizione internazionale. Trovare una soluzione che riesca a fronteggiare contemporaneamente tutti questi elementi di criticità non appare purtroppo scontato.</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t xml:space="preserve">Il </w:t>
      </w:r>
      <w:r w:rsidRPr="00B772A2">
        <w:rPr>
          <w:rFonts w:ascii="Verdana" w:eastAsia="Times New Roman" w:hAnsi="Verdana" w:cs="Times New Roman"/>
          <w:b/>
          <w:bCs/>
          <w:color w:val="005268"/>
          <w:lang w:eastAsia="it-IT"/>
        </w:rPr>
        <w:t>rischio demografico</w:t>
      </w:r>
      <w:r w:rsidRPr="00B772A2">
        <w:rPr>
          <w:rFonts w:ascii="Verdana" w:eastAsia="Times New Roman" w:hAnsi="Verdana" w:cs="Times New Roman"/>
          <w:color w:val="000000"/>
          <w:lang w:eastAsia="it-IT"/>
        </w:rPr>
        <w:t xml:space="preserve"> incide quindi sui sistemi pensionistici pubblici cosiddetti “</w:t>
      </w:r>
      <w:hyperlink r:id="rId8" w:history="1">
        <w:r w:rsidRPr="00B772A2">
          <w:rPr>
            <w:rFonts w:ascii="Verdana" w:eastAsia="Times New Roman" w:hAnsi="Verdana" w:cs="Times New Roman"/>
            <w:b/>
            <w:bCs/>
            <w:color w:val="0000FF"/>
            <w:u w:val="single"/>
            <w:lang w:eastAsia="it-IT"/>
          </w:rPr>
          <w:t>a ripartizione</w:t>
        </w:r>
      </w:hyperlink>
      <w:r w:rsidRPr="00B772A2">
        <w:rPr>
          <w:rFonts w:ascii="Verdana" w:eastAsia="Times New Roman" w:hAnsi="Verdana" w:cs="Times New Roman"/>
          <w:color w:val="000000"/>
          <w:lang w:eastAsia="it-IT"/>
        </w:rPr>
        <w:t xml:space="preserve"> ”, come quello operante nel nostro Paese. I Fondi pensione, strumenti di risparmio a “</w:t>
      </w:r>
      <w:hyperlink r:id="rId9" w:history="1">
        <w:r w:rsidRPr="00B772A2">
          <w:rPr>
            <w:rFonts w:ascii="Verdana" w:eastAsia="Times New Roman" w:hAnsi="Verdana" w:cs="Times New Roman"/>
            <w:b/>
            <w:bCs/>
            <w:color w:val="0000FF"/>
            <w:u w:val="single"/>
            <w:lang w:eastAsia="it-IT"/>
          </w:rPr>
          <w:t>capitalizzazione individuale</w:t>
        </w:r>
      </w:hyperlink>
      <w:r w:rsidRPr="00B772A2">
        <w:rPr>
          <w:rFonts w:ascii="Verdana" w:eastAsia="Times New Roman" w:hAnsi="Verdana" w:cs="Times New Roman"/>
          <w:color w:val="000000"/>
          <w:lang w:eastAsia="it-IT"/>
        </w:rPr>
        <w:t xml:space="preserve"> ”, possono costituire una opzione aggiuntiva attraverso la quale ciascun cittadino può pianificare con maggiore efficacia il proprio futuro pensionistico .</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r>
      <w:r w:rsidRPr="00B772A2">
        <w:rPr>
          <w:rFonts w:ascii="Verdana" w:eastAsia="Times New Roman" w:hAnsi="Verdana" w:cs="Times New Roman"/>
          <w:b/>
          <w:bCs/>
          <w:color w:val="005268"/>
          <w:lang w:eastAsia="it-IT"/>
        </w:rPr>
        <w:t>Il Veneto: una regione proiettata verso l’Europa. Da più punti di vista.</w:t>
      </w:r>
      <w:r w:rsidRPr="00B772A2">
        <w:rPr>
          <w:rFonts w:ascii="Verdana" w:eastAsia="Times New Roman" w:hAnsi="Verdana" w:cs="Times New Roman"/>
          <w:color w:val="000000"/>
          <w:lang w:eastAsia="it-IT"/>
        </w:rPr>
        <w:br/>
        <w:t xml:space="preserve">In Veneto si registrano retribuzioni più elevate e tassi di disoccupazione inferiori rispetto alla media nazionale. Limitati sono pure i tassi di irregolarità contributiva. La demografia veneta è però allineata con i dati nazionali: </w:t>
      </w:r>
      <w:r w:rsidRPr="00B772A2">
        <w:rPr>
          <w:rFonts w:ascii="Verdana" w:eastAsia="Times New Roman" w:hAnsi="Verdana" w:cs="Times New Roman"/>
          <w:b/>
          <w:bCs/>
          <w:color w:val="005268"/>
          <w:lang w:eastAsia="it-IT"/>
        </w:rPr>
        <w:t>il processo di invecchiamento investe infatti pienamente anche il nostro territorio</w:t>
      </w:r>
      <w:r w:rsidRPr="00B772A2">
        <w:rPr>
          <w:rFonts w:ascii="Verdana" w:eastAsia="Times New Roman" w:hAnsi="Verdana" w:cs="Times New Roman"/>
          <w:color w:val="000000"/>
          <w:lang w:eastAsia="it-IT"/>
        </w:rPr>
        <w:t xml:space="preserve"> (indice di vecchiaia 2018: 167,7; Italia 168,9), manifestandosi con maggiore evidenza a Rovigo (l’indice è 228,2) e a Belluno, dove ci sono 222 anziani ogni cento under 15. </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t>La prospettiva economica è aggravata dalla cosiddetta “</w:t>
      </w:r>
      <w:r w:rsidRPr="00B772A2">
        <w:rPr>
          <w:rFonts w:ascii="Verdana" w:eastAsia="Times New Roman" w:hAnsi="Verdana" w:cs="Times New Roman"/>
          <w:b/>
          <w:bCs/>
          <w:color w:val="005268"/>
          <w:lang w:eastAsia="it-IT"/>
        </w:rPr>
        <w:t>fuga dei cervelli</w:t>
      </w:r>
      <w:r w:rsidRPr="00B772A2">
        <w:rPr>
          <w:rFonts w:ascii="Verdana" w:eastAsia="Times New Roman" w:hAnsi="Verdana" w:cs="Times New Roman"/>
          <w:color w:val="000000"/>
          <w:lang w:eastAsia="it-IT"/>
        </w:rPr>
        <w:t xml:space="preserve">” (giovani, spesso ad alta scolarizzazione, che si spostano verso paesi reputati più interessanti), fenomeno nel quale la nostra regione è fra le prime d’Italia: l’Europa, così vicina fisicamente ed economicamente, </w:t>
      </w:r>
      <w:r w:rsidRPr="00B772A2">
        <w:rPr>
          <w:rFonts w:ascii="Verdana" w:eastAsia="Times New Roman" w:hAnsi="Verdana" w:cs="Times New Roman"/>
          <w:b/>
          <w:bCs/>
          <w:color w:val="005268"/>
          <w:lang w:eastAsia="it-IT"/>
        </w:rPr>
        <w:t>è molto attraente per le nuove generazioni</w:t>
      </w:r>
      <w:r w:rsidRPr="00B772A2">
        <w:rPr>
          <w:rFonts w:ascii="Verdana" w:eastAsia="Times New Roman" w:hAnsi="Verdana" w:cs="Times New Roman"/>
          <w:color w:val="000000"/>
          <w:lang w:eastAsia="it-IT"/>
        </w:rPr>
        <w:t xml:space="preserve">. </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t xml:space="preserve">E la </w:t>
      </w:r>
      <w:r w:rsidRPr="00B772A2">
        <w:rPr>
          <w:rFonts w:ascii="Verdana" w:eastAsia="Times New Roman" w:hAnsi="Verdana" w:cs="Times New Roman"/>
          <w:b/>
          <w:bCs/>
          <w:color w:val="005268"/>
          <w:lang w:eastAsia="it-IT"/>
        </w:rPr>
        <w:t>previdenza complementare</w:t>
      </w:r>
      <w:r w:rsidRPr="00B772A2">
        <w:rPr>
          <w:rFonts w:ascii="Verdana" w:eastAsia="Times New Roman" w:hAnsi="Verdana" w:cs="Times New Roman"/>
          <w:color w:val="000000"/>
          <w:lang w:eastAsia="it-IT"/>
        </w:rPr>
        <w:t xml:space="preserve">? In Veneto il 36,2% della forza lavoro ha aderito ad un fondo pensione. Non siamo ancora a livelli (nord)europei ma, nel nostro Paese (vedi grafico), tale </w:t>
      </w:r>
      <w:r w:rsidRPr="00B772A2">
        <w:rPr>
          <w:rFonts w:ascii="Verdana" w:eastAsia="Times New Roman" w:hAnsi="Verdana" w:cs="Times New Roman"/>
          <w:b/>
          <w:bCs/>
          <w:color w:val="005268"/>
          <w:lang w:eastAsia="it-IT"/>
        </w:rPr>
        <w:t>tasso di partecipazione</w:t>
      </w:r>
      <w:r w:rsidRPr="00B772A2">
        <w:rPr>
          <w:rFonts w:ascii="Verdana" w:eastAsia="Times New Roman" w:hAnsi="Verdana" w:cs="Times New Roman"/>
          <w:color w:val="000000"/>
          <w:lang w:eastAsia="it-IT"/>
        </w:rPr>
        <w:t xml:space="preserve"> è superato soltanto in Trentino - Alto Adige (50,5%) e in Valle d’Aosta (41,4%).</w:t>
      </w:r>
    </w:p>
    <w:p w:rsidR="00B772A2" w:rsidRPr="00B772A2" w:rsidRDefault="00B772A2" w:rsidP="00B772A2">
      <w:pPr>
        <w:spacing w:after="0" w:line="240" w:lineRule="auto"/>
        <w:rPr>
          <w:rFonts w:ascii="Verdana" w:eastAsia="Times New Roman" w:hAnsi="Verdana" w:cs="Times New Roman"/>
          <w:color w:val="000000"/>
          <w:lang w:eastAsia="it-IT"/>
        </w:rPr>
      </w:pPr>
    </w:p>
    <w:p w:rsidR="00B772A2" w:rsidRDefault="00B772A2" w:rsidP="00B772A2">
      <w:pPr>
        <w:spacing w:after="0" w:line="240" w:lineRule="auto"/>
        <w:jc w:val="center"/>
        <w:rPr>
          <w:rFonts w:ascii="Verdana" w:eastAsia="Times New Roman" w:hAnsi="Verdana" w:cs="Times New Roman"/>
          <w:color w:val="000000"/>
          <w:lang w:eastAsia="it-IT"/>
        </w:rPr>
      </w:pPr>
      <w:r w:rsidRPr="00B772A2">
        <w:rPr>
          <w:rFonts w:ascii="Verdana" w:eastAsia="Times New Roman" w:hAnsi="Verdana" w:cs="Times New Roman"/>
          <w:noProof/>
          <w:color w:val="000000"/>
          <w:lang w:eastAsia="it-IT"/>
        </w:rPr>
        <w:drawing>
          <wp:inline distT="0" distB="0" distL="0" distR="0" wp14:anchorId="00C520F2" wp14:editId="258D8E40">
            <wp:extent cx="5715000" cy="3581400"/>
            <wp:effectExtent l="0" t="0" r="0" b="0"/>
            <wp:docPr id="3" name="Immagine 3" descr="https://www.solidarietaveneto.it/development/solidarietaveneto/contents.nsf/a0357506a30f54d8c1257ca0004d6098/9ddbde529ed046f8c125846a003ed383/Testo/4.101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lidarietaveneto.it/development/solidarietaveneto/contents.nsf/a0357506a30f54d8c1257ca0004d6098/9ddbde529ed046f8c125846a003ed383/Testo/4.1012?OpenElement&amp;FieldElemForm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r w:rsidRPr="00B772A2">
        <w:rPr>
          <w:rFonts w:ascii="Verdana" w:eastAsia="Times New Roman" w:hAnsi="Verdana" w:cs="Times New Roman"/>
          <w:color w:val="000000"/>
          <w:lang w:eastAsia="it-IT"/>
        </w:rPr>
        <w:t xml:space="preserve">Fonte: </w:t>
      </w:r>
      <w:proofErr w:type="spellStart"/>
      <w:r w:rsidRPr="00B772A2">
        <w:rPr>
          <w:rFonts w:ascii="Verdana" w:eastAsia="Times New Roman" w:hAnsi="Verdana" w:cs="Times New Roman"/>
          <w:color w:val="000000"/>
          <w:lang w:eastAsia="it-IT"/>
        </w:rPr>
        <w:t>Covip</w:t>
      </w:r>
      <w:proofErr w:type="spellEnd"/>
      <w:r w:rsidRPr="00B772A2">
        <w:rPr>
          <w:rFonts w:ascii="Verdana" w:eastAsia="Times New Roman" w:hAnsi="Verdana" w:cs="Times New Roman"/>
          <w:color w:val="000000"/>
          <w:lang w:eastAsia="it-IT"/>
        </w:rPr>
        <w:t xml:space="preserve"> - Relazione per l'anno 2018</w:t>
      </w:r>
    </w:p>
    <w:p w:rsidR="00B772A2" w:rsidRPr="00B772A2" w:rsidRDefault="00B772A2" w:rsidP="00B772A2">
      <w:pPr>
        <w:spacing w:after="0" w:line="240" w:lineRule="auto"/>
        <w:jc w:val="center"/>
        <w:rPr>
          <w:rFonts w:ascii="Verdana" w:eastAsia="Times New Roman" w:hAnsi="Verdana" w:cs="Times New Roman"/>
          <w:color w:val="000000"/>
          <w:lang w:eastAsia="it-IT"/>
        </w:rPr>
      </w:pPr>
    </w:p>
    <w:p w:rsidR="00C04D38" w:rsidRPr="00B772A2" w:rsidRDefault="00B772A2" w:rsidP="00B772A2">
      <w:pPr>
        <w:spacing w:after="0" w:line="240" w:lineRule="auto"/>
        <w:rPr>
          <w:rFonts w:ascii="Verdana" w:eastAsia="Times New Roman" w:hAnsi="Verdana" w:cs="Times New Roman"/>
          <w:color w:val="000000"/>
          <w:lang w:eastAsia="it-IT"/>
        </w:rPr>
      </w:pPr>
      <w:r w:rsidRPr="00B772A2">
        <w:rPr>
          <w:rFonts w:ascii="Verdana" w:eastAsia="Times New Roman" w:hAnsi="Verdana" w:cs="Times New Roman"/>
          <w:color w:val="000000"/>
          <w:lang w:eastAsia="it-IT"/>
        </w:rPr>
        <w:t xml:space="preserve">Un risultato che si potrebbe spiegare con una </w:t>
      </w:r>
      <w:r w:rsidRPr="00B772A2">
        <w:rPr>
          <w:rFonts w:ascii="Verdana" w:eastAsia="Times New Roman" w:hAnsi="Verdana" w:cs="Times New Roman"/>
          <w:b/>
          <w:bCs/>
          <w:color w:val="005268"/>
          <w:lang w:eastAsia="it-IT"/>
        </w:rPr>
        <w:t>maggiore consapevolezza</w:t>
      </w:r>
      <w:r w:rsidRPr="00B772A2">
        <w:rPr>
          <w:rFonts w:ascii="Verdana" w:eastAsia="Times New Roman" w:hAnsi="Verdana" w:cs="Times New Roman"/>
          <w:color w:val="000000"/>
          <w:lang w:eastAsia="it-IT"/>
        </w:rPr>
        <w:t xml:space="preserve">, magari da collegarsi alla conoscenza delle prospettive pensionistiche. A tal proposito è interessante osservare che la </w:t>
      </w:r>
      <w:proofErr w:type="spellStart"/>
      <w:r w:rsidRPr="00B772A2">
        <w:rPr>
          <w:rFonts w:ascii="Verdana" w:eastAsia="Times New Roman" w:hAnsi="Verdana" w:cs="Times New Roman"/>
          <w:color w:val="000000"/>
          <w:lang w:eastAsia="it-IT"/>
        </w:rPr>
        <w:t>Covip</w:t>
      </w:r>
      <w:proofErr w:type="spellEnd"/>
      <w:r w:rsidRPr="00B772A2">
        <w:rPr>
          <w:rFonts w:ascii="Verdana" w:eastAsia="Times New Roman" w:hAnsi="Verdana" w:cs="Times New Roman"/>
          <w:color w:val="000000"/>
          <w:lang w:eastAsia="it-IT"/>
        </w:rPr>
        <w:t xml:space="preserve"> (Commissione di Vigilanza sui Fondi Pensione) nell’ultima “Relazione Annuale” ci indica che il tasso “</w:t>
      </w:r>
      <w:r w:rsidRPr="00B772A2">
        <w:rPr>
          <w:rFonts w:ascii="Verdana" w:eastAsia="Times New Roman" w:hAnsi="Verdana" w:cs="Times New Roman"/>
          <w:b/>
          <w:bCs/>
          <w:color w:val="005268"/>
          <w:lang w:eastAsia="it-IT"/>
        </w:rPr>
        <w:t>è elevato laddove l’offerta previdenziale è completata da iniziative di tipo territoriale</w:t>
      </w:r>
      <w:r w:rsidRPr="00B772A2">
        <w:rPr>
          <w:rFonts w:ascii="Verdana" w:eastAsia="Times New Roman" w:hAnsi="Verdana" w:cs="Times New Roman"/>
          <w:color w:val="000000"/>
          <w:lang w:eastAsia="it-IT"/>
        </w:rPr>
        <w:t xml:space="preserve">”. </w:t>
      </w:r>
      <w:r w:rsidRPr="00B772A2">
        <w:rPr>
          <w:rFonts w:ascii="Verdana" w:eastAsia="Times New Roman" w:hAnsi="Verdana" w:cs="Times New Roman"/>
          <w:color w:val="000000"/>
          <w:lang w:eastAsia="it-IT"/>
        </w:rPr>
        <w:br/>
      </w:r>
      <w:r w:rsidRPr="00B772A2">
        <w:rPr>
          <w:rFonts w:ascii="Verdana" w:eastAsia="Times New Roman" w:hAnsi="Verdana" w:cs="Times New Roman"/>
          <w:color w:val="000000"/>
          <w:lang w:eastAsia="it-IT"/>
        </w:rPr>
        <w:br/>
      </w:r>
      <w:r w:rsidRPr="00B772A2">
        <w:rPr>
          <w:rFonts w:ascii="Verdana" w:eastAsia="Times New Roman" w:hAnsi="Verdana" w:cs="Times New Roman"/>
          <w:b/>
          <w:bCs/>
          <w:color w:val="005268"/>
          <w:lang w:eastAsia="it-IT"/>
        </w:rPr>
        <w:t>Attrattività del territorio e consapevolezza rispetto al futuro</w:t>
      </w:r>
      <w:r w:rsidRPr="00B772A2">
        <w:rPr>
          <w:rFonts w:ascii="Verdana" w:eastAsia="Times New Roman" w:hAnsi="Verdana" w:cs="Times New Roman"/>
          <w:color w:val="000000"/>
          <w:lang w:eastAsia="it-IT"/>
        </w:rPr>
        <w:t>: due temi che si intersecano e che potrebbero darci delle interessanti chiavi di lettura, per il futuro demografico e previdenziale della nostra regione ma anche, più in generale, dell’Italia intera.</w:t>
      </w:r>
    </w:p>
    <w:sectPr w:rsidR="00C04D38" w:rsidRPr="00B772A2" w:rsidSect="00B772A2">
      <w:type w:val="continuous"/>
      <w:pgSz w:w="11907" w:h="16839" w:code="9"/>
      <w:pgMar w:top="1417"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E7019"/>
    <w:multiLevelType w:val="multilevel"/>
    <w:tmpl w:val="78B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defaultTabStop w:val="708"/>
  <w:hyphenationZone w:val="283"/>
  <w:characterSpacingControl w:val="doNotCompress"/>
  <w:savePreviewPicture/>
  <w:compat>
    <w:compatSetting w:name="compatibilityMode" w:uri="http://schemas.microsoft.com/office/word" w:val="12"/>
  </w:compat>
  <w:rsids>
    <w:rsidRoot w:val="00B772A2"/>
    <w:rsid w:val="00003766"/>
    <w:rsid w:val="00005EB5"/>
    <w:rsid w:val="00007C09"/>
    <w:rsid w:val="00011081"/>
    <w:rsid w:val="00011AB9"/>
    <w:rsid w:val="00013EE4"/>
    <w:rsid w:val="00014B95"/>
    <w:rsid w:val="000175E4"/>
    <w:rsid w:val="00021EC3"/>
    <w:rsid w:val="00022EAB"/>
    <w:rsid w:val="00023C37"/>
    <w:rsid w:val="00024205"/>
    <w:rsid w:val="00024A3E"/>
    <w:rsid w:val="00027741"/>
    <w:rsid w:val="00030058"/>
    <w:rsid w:val="00031513"/>
    <w:rsid w:val="00032047"/>
    <w:rsid w:val="000330C5"/>
    <w:rsid w:val="00033E7E"/>
    <w:rsid w:val="00033EF9"/>
    <w:rsid w:val="0003454E"/>
    <w:rsid w:val="0003467F"/>
    <w:rsid w:val="00036A00"/>
    <w:rsid w:val="00041CDB"/>
    <w:rsid w:val="00041DDC"/>
    <w:rsid w:val="00042FD0"/>
    <w:rsid w:val="00044198"/>
    <w:rsid w:val="000445EA"/>
    <w:rsid w:val="00046837"/>
    <w:rsid w:val="0005116F"/>
    <w:rsid w:val="000537DC"/>
    <w:rsid w:val="00055195"/>
    <w:rsid w:val="00057209"/>
    <w:rsid w:val="00057268"/>
    <w:rsid w:val="000613FE"/>
    <w:rsid w:val="000620D0"/>
    <w:rsid w:val="0006436E"/>
    <w:rsid w:val="0006584C"/>
    <w:rsid w:val="0007418B"/>
    <w:rsid w:val="0007485D"/>
    <w:rsid w:val="00074873"/>
    <w:rsid w:val="00074949"/>
    <w:rsid w:val="000750CE"/>
    <w:rsid w:val="000759D6"/>
    <w:rsid w:val="00076A75"/>
    <w:rsid w:val="00081AA0"/>
    <w:rsid w:val="00082F3D"/>
    <w:rsid w:val="00084BF9"/>
    <w:rsid w:val="000860DB"/>
    <w:rsid w:val="00086A30"/>
    <w:rsid w:val="000875BB"/>
    <w:rsid w:val="0009006C"/>
    <w:rsid w:val="00090F40"/>
    <w:rsid w:val="00090FAA"/>
    <w:rsid w:val="000926DC"/>
    <w:rsid w:val="0009454B"/>
    <w:rsid w:val="0009596B"/>
    <w:rsid w:val="000969B0"/>
    <w:rsid w:val="000A5675"/>
    <w:rsid w:val="000B0DA7"/>
    <w:rsid w:val="000B6A41"/>
    <w:rsid w:val="000C7E41"/>
    <w:rsid w:val="000D2761"/>
    <w:rsid w:val="000D2D1F"/>
    <w:rsid w:val="000D3147"/>
    <w:rsid w:val="000D4F93"/>
    <w:rsid w:val="000D6DB6"/>
    <w:rsid w:val="000E0830"/>
    <w:rsid w:val="000E2988"/>
    <w:rsid w:val="000E36A6"/>
    <w:rsid w:val="000E36F4"/>
    <w:rsid w:val="000E3976"/>
    <w:rsid w:val="000E53C5"/>
    <w:rsid w:val="000E701A"/>
    <w:rsid w:val="000E76CD"/>
    <w:rsid w:val="000F023D"/>
    <w:rsid w:val="000F0E76"/>
    <w:rsid w:val="000F1520"/>
    <w:rsid w:val="000F7D6A"/>
    <w:rsid w:val="001001F8"/>
    <w:rsid w:val="001019BB"/>
    <w:rsid w:val="00104824"/>
    <w:rsid w:val="00107ABF"/>
    <w:rsid w:val="00110220"/>
    <w:rsid w:val="00111E8F"/>
    <w:rsid w:val="001152F1"/>
    <w:rsid w:val="0011541A"/>
    <w:rsid w:val="001273D0"/>
    <w:rsid w:val="001305A8"/>
    <w:rsid w:val="00130817"/>
    <w:rsid w:val="00132635"/>
    <w:rsid w:val="001338DD"/>
    <w:rsid w:val="00134AC0"/>
    <w:rsid w:val="0013787A"/>
    <w:rsid w:val="00137CED"/>
    <w:rsid w:val="001432A1"/>
    <w:rsid w:val="00143356"/>
    <w:rsid w:val="00146441"/>
    <w:rsid w:val="00150B11"/>
    <w:rsid w:val="00160A02"/>
    <w:rsid w:val="0016109B"/>
    <w:rsid w:val="00164BC7"/>
    <w:rsid w:val="001668CE"/>
    <w:rsid w:val="001715B6"/>
    <w:rsid w:val="0017176A"/>
    <w:rsid w:val="00171DC6"/>
    <w:rsid w:val="00173086"/>
    <w:rsid w:val="00173917"/>
    <w:rsid w:val="001768E8"/>
    <w:rsid w:val="001777A1"/>
    <w:rsid w:val="00177A64"/>
    <w:rsid w:val="00181586"/>
    <w:rsid w:val="00181D21"/>
    <w:rsid w:val="00181E7B"/>
    <w:rsid w:val="00184B67"/>
    <w:rsid w:val="0019006E"/>
    <w:rsid w:val="00190798"/>
    <w:rsid w:val="00191672"/>
    <w:rsid w:val="00192348"/>
    <w:rsid w:val="00192D5D"/>
    <w:rsid w:val="00192FE7"/>
    <w:rsid w:val="001958A4"/>
    <w:rsid w:val="00195DED"/>
    <w:rsid w:val="001979BB"/>
    <w:rsid w:val="001A1EA6"/>
    <w:rsid w:val="001A2055"/>
    <w:rsid w:val="001A2798"/>
    <w:rsid w:val="001A6A21"/>
    <w:rsid w:val="001B09E4"/>
    <w:rsid w:val="001B2557"/>
    <w:rsid w:val="001B309E"/>
    <w:rsid w:val="001B7B88"/>
    <w:rsid w:val="001C3C37"/>
    <w:rsid w:val="001C4B58"/>
    <w:rsid w:val="001C4C23"/>
    <w:rsid w:val="001C75F2"/>
    <w:rsid w:val="001D05E6"/>
    <w:rsid w:val="001D2C37"/>
    <w:rsid w:val="001D69B7"/>
    <w:rsid w:val="001D7443"/>
    <w:rsid w:val="001D7609"/>
    <w:rsid w:val="001E041A"/>
    <w:rsid w:val="001E1506"/>
    <w:rsid w:val="001E2665"/>
    <w:rsid w:val="001E27AB"/>
    <w:rsid w:val="001F0192"/>
    <w:rsid w:val="001F1EBB"/>
    <w:rsid w:val="001F298C"/>
    <w:rsid w:val="001F347C"/>
    <w:rsid w:val="001F4AA8"/>
    <w:rsid w:val="001F50BB"/>
    <w:rsid w:val="002013F3"/>
    <w:rsid w:val="0020233C"/>
    <w:rsid w:val="0020268C"/>
    <w:rsid w:val="0020368D"/>
    <w:rsid w:val="00214D65"/>
    <w:rsid w:val="00217EE1"/>
    <w:rsid w:val="002201FF"/>
    <w:rsid w:val="00220556"/>
    <w:rsid w:val="002229A5"/>
    <w:rsid w:val="00225935"/>
    <w:rsid w:val="0022638F"/>
    <w:rsid w:val="0022766A"/>
    <w:rsid w:val="00232269"/>
    <w:rsid w:val="0023673E"/>
    <w:rsid w:val="00240B5D"/>
    <w:rsid w:val="002443F3"/>
    <w:rsid w:val="002445BA"/>
    <w:rsid w:val="00245F97"/>
    <w:rsid w:val="00247294"/>
    <w:rsid w:val="00247F3C"/>
    <w:rsid w:val="002556AC"/>
    <w:rsid w:val="00255D70"/>
    <w:rsid w:val="00257E17"/>
    <w:rsid w:val="002615D4"/>
    <w:rsid w:val="0026228F"/>
    <w:rsid w:val="00263757"/>
    <w:rsid w:val="00265634"/>
    <w:rsid w:val="002701A8"/>
    <w:rsid w:val="00271272"/>
    <w:rsid w:val="00271656"/>
    <w:rsid w:val="002722B7"/>
    <w:rsid w:val="00277D57"/>
    <w:rsid w:val="0028580D"/>
    <w:rsid w:val="00286916"/>
    <w:rsid w:val="00286E9E"/>
    <w:rsid w:val="0029015F"/>
    <w:rsid w:val="00291422"/>
    <w:rsid w:val="002A016F"/>
    <w:rsid w:val="002A073F"/>
    <w:rsid w:val="002A1312"/>
    <w:rsid w:val="002A40B9"/>
    <w:rsid w:val="002A42B1"/>
    <w:rsid w:val="002A4FB1"/>
    <w:rsid w:val="002B1F0C"/>
    <w:rsid w:val="002B35C9"/>
    <w:rsid w:val="002B511F"/>
    <w:rsid w:val="002B634E"/>
    <w:rsid w:val="002C0D32"/>
    <w:rsid w:val="002C0EF2"/>
    <w:rsid w:val="002C16A4"/>
    <w:rsid w:val="002C20E1"/>
    <w:rsid w:val="002D3814"/>
    <w:rsid w:val="002D7109"/>
    <w:rsid w:val="002F0AC8"/>
    <w:rsid w:val="002F14C2"/>
    <w:rsid w:val="002F49D1"/>
    <w:rsid w:val="002F6BE8"/>
    <w:rsid w:val="00301196"/>
    <w:rsid w:val="003042B0"/>
    <w:rsid w:val="00305711"/>
    <w:rsid w:val="00306F80"/>
    <w:rsid w:val="00312698"/>
    <w:rsid w:val="00313B53"/>
    <w:rsid w:val="00315C9C"/>
    <w:rsid w:val="00316105"/>
    <w:rsid w:val="003220A9"/>
    <w:rsid w:val="00324147"/>
    <w:rsid w:val="003242C4"/>
    <w:rsid w:val="00325220"/>
    <w:rsid w:val="003309D6"/>
    <w:rsid w:val="00331E82"/>
    <w:rsid w:val="003339D6"/>
    <w:rsid w:val="00334CBF"/>
    <w:rsid w:val="003352A1"/>
    <w:rsid w:val="0034069C"/>
    <w:rsid w:val="0034279B"/>
    <w:rsid w:val="00347274"/>
    <w:rsid w:val="00353894"/>
    <w:rsid w:val="00357872"/>
    <w:rsid w:val="003633AC"/>
    <w:rsid w:val="00364094"/>
    <w:rsid w:val="00364C71"/>
    <w:rsid w:val="00366110"/>
    <w:rsid w:val="003715D7"/>
    <w:rsid w:val="00372AB5"/>
    <w:rsid w:val="003755C5"/>
    <w:rsid w:val="00386742"/>
    <w:rsid w:val="00387415"/>
    <w:rsid w:val="00387577"/>
    <w:rsid w:val="00392263"/>
    <w:rsid w:val="00392373"/>
    <w:rsid w:val="003939A9"/>
    <w:rsid w:val="00395AC4"/>
    <w:rsid w:val="0039784B"/>
    <w:rsid w:val="003A078F"/>
    <w:rsid w:val="003A243D"/>
    <w:rsid w:val="003A57C0"/>
    <w:rsid w:val="003A584C"/>
    <w:rsid w:val="003A58F9"/>
    <w:rsid w:val="003B3EA0"/>
    <w:rsid w:val="003B551C"/>
    <w:rsid w:val="003B604C"/>
    <w:rsid w:val="003C0499"/>
    <w:rsid w:val="003C18C0"/>
    <w:rsid w:val="003C3308"/>
    <w:rsid w:val="003C6F77"/>
    <w:rsid w:val="003D12F3"/>
    <w:rsid w:val="003D33D0"/>
    <w:rsid w:val="003D418E"/>
    <w:rsid w:val="003E2B60"/>
    <w:rsid w:val="003E2CD2"/>
    <w:rsid w:val="003E2FE5"/>
    <w:rsid w:val="003F1410"/>
    <w:rsid w:val="003F229A"/>
    <w:rsid w:val="004009B4"/>
    <w:rsid w:val="00401FB1"/>
    <w:rsid w:val="00402EC9"/>
    <w:rsid w:val="00405935"/>
    <w:rsid w:val="00406FFD"/>
    <w:rsid w:val="004077EC"/>
    <w:rsid w:val="004101E8"/>
    <w:rsid w:val="0041195C"/>
    <w:rsid w:val="004137C8"/>
    <w:rsid w:val="004140FD"/>
    <w:rsid w:val="00414A16"/>
    <w:rsid w:val="00414B81"/>
    <w:rsid w:val="00414DB4"/>
    <w:rsid w:val="0042037B"/>
    <w:rsid w:val="00421CAA"/>
    <w:rsid w:val="0042359C"/>
    <w:rsid w:val="00426C9E"/>
    <w:rsid w:val="00426E10"/>
    <w:rsid w:val="00430B6D"/>
    <w:rsid w:val="00432270"/>
    <w:rsid w:val="004329E1"/>
    <w:rsid w:val="00436231"/>
    <w:rsid w:val="004400BD"/>
    <w:rsid w:val="00443631"/>
    <w:rsid w:val="00444307"/>
    <w:rsid w:val="00450011"/>
    <w:rsid w:val="00450372"/>
    <w:rsid w:val="00453ED7"/>
    <w:rsid w:val="00455586"/>
    <w:rsid w:val="0045624C"/>
    <w:rsid w:val="00456EA1"/>
    <w:rsid w:val="00463374"/>
    <w:rsid w:val="00466DB5"/>
    <w:rsid w:val="00475DA9"/>
    <w:rsid w:val="004805ED"/>
    <w:rsid w:val="00486FB4"/>
    <w:rsid w:val="004878F2"/>
    <w:rsid w:val="004907EF"/>
    <w:rsid w:val="00490E42"/>
    <w:rsid w:val="004932CD"/>
    <w:rsid w:val="00493308"/>
    <w:rsid w:val="004948A7"/>
    <w:rsid w:val="00494F29"/>
    <w:rsid w:val="004951AB"/>
    <w:rsid w:val="00495CB1"/>
    <w:rsid w:val="00497DEC"/>
    <w:rsid w:val="004A0DAD"/>
    <w:rsid w:val="004A5F73"/>
    <w:rsid w:val="004A6DCB"/>
    <w:rsid w:val="004B1DA3"/>
    <w:rsid w:val="004B6262"/>
    <w:rsid w:val="004B7BF7"/>
    <w:rsid w:val="004B7D27"/>
    <w:rsid w:val="004C1290"/>
    <w:rsid w:val="004C3CF5"/>
    <w:rsid w:val="004C3DC0"/>
    <w:rsid w:val="004C44D7"/>
    <w:rsid w:val="004C5BFD"/>
    <w:rsid w:val="004D2691"/>
    <w:rsid w:val="004D7931"/>
    <w:rsid w:val="004E2AA8"/>
    <w:rsid w:val="004E43C3"/>
    <w:rsid w:val="004E6D37"/>
    <w:rsid w:val="004F0B87"/>
    <w:rsid w:val="004F30C5"/>
    <w:rsid w:val="004F4342"/>
    <w:rsid w:val="004F53D9"/>
    <w:rsid w:val="004F77D7"/>
    <w:rsid w:val="00500E7E"/>
    <w:rsid w:val="005048E0"/>
    <w:rsid w:val="00513A50"/>
    <w:rsid w:val="005157B9"/>
    <w:rsid w:val="00517698"/>
    <w:rsid w:val="00520EB0"/>
    <w:rsid w:val="00520EB7"/>
    <w:rsid w:val="00522803"/>
    <w:rsid w:val="00524CC3"/>
    <w:rsid w:val="00526C4A"/>
    <w:rsid w:val="00526F5E"/>
    <w:rsid w:val="00533672"/>
    <w:rsid w:val="00534998"/>
    <w:rsid w:val="00534AFF"/>
    <w:rsid w:val="00534B33"/>
    <w:rsid w:val="00535D41"/>
    <w:rsid w:val="00536A16"/>
    <w:rsid w:val="00536D7B"/>
    <w:rsid w:val="00537FE1"/>
    <w:rsid w:val="005407B4"/>
    <w:rsid w:val="00541A85"/>
    <w:rsid w:val="00545952"/>
    <w:rsid w:val="00545AFC"/>
    <w:rsid w:val="00545B90"/>
    <w:rsid w:val="00546449"/>
    <w:rsid w:val="00553A06"/>
    <w:rsid w:val="005557CD"/>
    <w:rsid w:val="005566C8"/>
    <w:rsid w:val="00557132"/>
    <w:rsid w:val="00563522"/>
    <w:rsid w:val="00563B78"/>
    <w:rsid w:val="00566DD8"/>
    <w:rsid w:val="005713AA"/>
    <w:rsid w:val="00571BAB"/>
    <w:rsid w:val="00572F5D"/>
    <w:rsid w:val="00573044"/>
    <w:rsid w:val="0057467A"/>
    <w:rsid w:val="005752A4"/>
    <w:rsid w:val="0057619D"/>
    <w:rsid w:val="00577A36"/>
    <w:rsid w:val="00580AB5"/>
    <w:rsid w:val="00580DAF"/>
    <w:rsid w:val="00586D63"/>
    <w:rsid w:val="0058764F"/>
    <w:rsid w:val="005907CD"/>
    <w:rsid w:val="00593033"/>
    <w:rsid w:val="005940C4"/>
    <w:rsid w:val="005945D6"/>
    <w:rsid w:val="00597B51"/>
    <w:rsid w:val="005A010D"/>
    <w:rsid w:val="005A0BC8"/>
    <w:rsid w:val="005A5415"/>
    <w:rsid w:val="005A56CF"/>
    <w:rsid w:val="005A59EB"/>
    <w:rsid w:val="005A7525"/>
    <w:rsid w:val="005B2A54"/>
    <w:rsid w:val="005B38CF"/>
    <w:rsid w:val="005B4865"/>
    <w:rsid w:val="005B6C65"/>
    <w:rsid w:val="005C2EAE"/>
    <w:rsid w:val="005C4649"/>
    <w:rsid w:val="005C5B2C"/>
    <w:rsid w:val="005C6DD1"/>
    <w:rsid w:val="005C705D"/>
    <w:rsid w:val="005D2D83"/>
    <w:rsid w:val="005D4473"/>
    <w:rsid w:val="005D5F9E"/>
    <w:rsid w:val="005E0E85"/>
    <w:rsid w:val="005E1497"/>
    <w:rsid w:val="005E5335"/>
    <w:rsid w:val="005E62BC"/>
    <w:rsid w:val="005E7C01"/>
    <w:rsid w:val="005F2420"/>
    <w:rsid w:val="005F2E74"/>
    <w:rsid w:val="005F3117"/>
    <w:rsid w:val="005F43CC"/>
    <w:rsid w:val="00601F41"/>
    <w:rsid w:val="0060219B"/>
    <w:rsid w:val="00610882"/>
    <w:rsid w:val="00612C8C"/>
    <w:rsid w:val="00616EC8"/>
    <w:rsid w:val="00617A7A"/>
    <w:rsid w:val="00623537"/>
    <w:rsid w:val="006236C1"/>
    <w:rsid w:val="00624783"/>
    <w:rsid w:val="00626C1F"/>
    <w:rsid w:val="00627BA2"/>
    <w:rsid w:val="00632642"/>
    <w:rsid w:val="00636079"/>
    <w:rsid w:val="00642C1D"/>
    <w:rsid w:val="00643355"/>
    <w:rsid w:val="00645E9D"/>
    <w:rsid w:val="006460FE"/>
    <w:rsid w:val="00646BB9"/>
    <w:rsid w:val="00652C5F"/>
    <w:rsid w:val="00654CFE"/>
    <w:rsid w:val="00656090"/>
    <w:rsid w:val="00660737"/>
    <w:rsid w:val="00663FFA"/>
    <w:rsid w:val="00664419"/>
    <w:rsid w:val="00665A5C"/>
    <w:rsid w:val="00670E9A"/>
    <w:rsid w:val="00674705"/>
    <w:rsid w:val="00674754"/>
    <w:rsid w:val="00677D2A"/>
    <w:rsid w:val="006825CB"/>
    <w:rsid w:val="00687778"/>
    <w:rsid w:val="006912DC"/>
    <w:rsid w:val="006958A1"/>
    <w:rsid w:val="00695E45"/>
    <w:rsid w:val="00696470"/>
    <w:rsid w:val="00696781"/>
    <w:rsid w:val="006979FE"/>
    <w:rsid w:val="00697E13"/>
    <w:rsid w:val="006A081C"/>
    <w:rsid w:val="006A1B89"/>
    <w:rsid w:val="006A2268"/>
    <w:rsid w:val="006A51F7"/>
    <w:rsid w:val="006A6980"/>
    <w:rsid w:val="006B169E"/>
    <w:rsid w:val="006B1897"/>
    <w:rsid w:val="006B4AFB"/>
    <w:rsid w:val="006B515F"/>
    <w:rsid w:val="006C222C"/>
    <w:rsid w:val="006C3FF9"/>
    <w:rsid w:val="006C6263"/>
    <w:rsid w:val="006D15EE"/>
    <w:rsid w:val="006D39D0"/>
    <w:rsid w:val="006D3E08"/>
    <w:rsid w:val="006D44A0"/>
    <w:rsid w:val="006D4EE5"/>
    <w:rsid w:val="006D60B5"/>
    <w:rsid w:val="006D71EC"/>
    <w:rsid w:val="006D7567"/>
    <w:rsid w:val="006E078A"/>
    <w:rsid w:val="006E1410"/>
    <w:rsid w:val="006E4253"/>
    <w:rsid w:val="006E49D3"/>
    <w:rsid w:val="006E5C90"/>
    <w:rsid w:val="006E7389"/>
    <w:rsid w:val="006F1024"/>
    <w:rsid w:val="006F518B"/>
    <w:rsid w:val="006F51C1"/>
    <w:rsid w:val="006F6EEF"/>
    <w:rsid w:val="006F70E2"/>
    <w:rsid w:val="00702189"/>
    <w:rsid w:val="00703CD8"/>
    <w:rsid w:val="00704B86"/>
    <w:rsid w:val="00704E6A"/>
    <w:rsid w:val="0070579C"/>
    <w:rsid w:val="00711788"/>
    <w:rsid w:val="0071209E"/>
    <w:rsid w:val="007130B3"/>
    <w:rsid w:val="00713145"/>
    <w:rsid w:val="0071614B"/>
    <w:rsid w:val="0072264D"/>
    <w:rsid w:val="00722DFD"/>
    <w:rsid w:val="00725A5D"/>
    <w:rsid w:val="00730C1E"/>
    <w:rsid w:val="00733667"/>
    <w:rsid w:val="00740A82"/>
    <w:rsid w:val="00744145"/>
    <w:rsid w:val="00744384"/>
    <w:rsid w:val="0074447D"/>
    <w:rsid w:val="0074467E"/>
    <w:rsid w:val="00747AB1"/>
    <w:rsid w:val="00751423"/>
    <w:rsid w:val="007531C5"/>
    <w:rsid w:val="007562AC"/>
    <w:rsid w:val="00760770"/>
    <w:rsid w:val="00760A1C"/>
    <w:rsid w:val="0076130A"/>
    <w:rsid w:val="007614D8"/>
    <w:rsid w:val="00761AD0"/>
    <w:rsid w:val="0076284A"/>
    <w:rsid w:val="00763E0F"/>
    <w:rsid w:val="00771735"/>
    <w:rsid w:val="00772A2D"/>
    <w:rsid w:val="00773A1D"/>
    <w:rsid w:val="0077405A"/>
    <w:rsid w:val="0077619C"/>
    <w:rsid w:val="00776D19"/>
    <w:rsid w:val="007846AF"/>
    <w:rsid w:val="0079061E"/>
    <w:rsid w:val="00795A1A"/>
    <w:rsid w:val="007A2A02"/>
    <w:rsid w:val="007A2ACD"/>
    <w:rsid w:val="007A467E"/>
    <w:rsid w:val="007A50E4"/>
    <w:rsid w:val="007A60BB"/>
    <w:rsid w:val="007A7D45"/>
    <w:rsid w:val="007B1590"/>
    <w:rsid w:val="007B32D5"/>
    <w:rsid w:val="007B38AB"/>
    <w:rsid w:val="007B6EC6"/>
    <w:rsid w:val="007C119F"/>
    <w:rsid w:val="007D1241"/>
    <w:rsid w:val="007D2A88"/>
    <w:rsid w:val="007D6786"/>
    <w:rsid w:val="007E154B"/>
    <w:rsid w:val="007E250B"/>
    <w:rsid w:val="007E2F6B"/>
    <w:rsid w:val="007E7291"/>
    <w:rsid w:val="007E75BF"/>
    <w:rsid w:val="007F032C"/>
    <w:rsid w:val="007F1A33"/>
    <w:rsid w:val="007F3D69"/>
    <w:rsid w:val="007F43E2"/>
    <w:rsid w:val="007F727C"/>
    <w:rsid w:val="00802DE5"/>
    <w:rsid w:val="008033FD"/>
    <w:rsid w:val="00803E6B"/>
    <w:rsid w:val="00805469"/>
    <w:rsid w:val="00806E14"/>
    <w:rsid w:val="0081188F"/>
    <w:rsid w:val="00811C56"/>
    <w:rsid w:val="0081235B"/>
    <w:rsid w:val="00814BEC"/>
    <w:rsid w:val="00821B20"/>
    <w:rsid w:val="00821F6A"/>
    <w:rsid w:val="00823834"/>
    <w:rsid w:val="008249C6"/>
    <w:rsid w:val="008260A4"/>
    <w:rsid w:val="008265AD"/>
    <w:rsid w:val="00826971"/>
    <w:rsid w:val="008343A7"/>
    <w:rsid w:val="00837076"/>
    <w:rsid w:val="00841288"/>
    <w:rsid w:val="008458B2"/>
    <w:rsid w:val="008506BB"/>
    <w:rsid w:val="008516C7"/>
    <w:rsid w:val="00852116"/>
    <w:rsid w:val="00852C68"/>
    <w:rsid w:val="008539D5"/>
    <w:rsid w:val="00864974"/>
    <w:rsid w:val="008654B8"/>
    <w:rsid w:val="00866D45"/>
    <w:rsid w:val="00867286"/>
    <w:rsid w:val="0086755D"/>
    <w:rsid w:val="00873C40"/>
    <w:rsid w:val="00874013"/>
    <w:rsid w:val="008758B6"/>
    <w:rsid w:val="00875B0B"/>
    <w:rsid w:val="00876159"/>
    <w:rsid w:val="008775F7"/>
    <w:rsid w:val="008849BE"/>
    <w:rsid w:val="008855CA"/>
    <w:rsid w:val="00886660"/>
    <w:rsid w:val="00887612"/>
    <w:rsid w:val="00891342"/>
    <w:rsid w:val="00892AC3"/>
    <w:rsid w:val="0089394A"/>
    <w:rsid w:val="00894145"/>
    <w:rsid w:val="00895552"/>
    <w:rsid w:val="008A1E36"/>
    <w:rsid w:val="008A3FB3"/>
    <w:rsid w:val="008B0FD4"/>
    <w:rsid w:val="008B14AA"/>
    <w:rsid w:val="008B3153"/>
    <w:rsid w:val="008B3E7C"/>
    <w:rsid w:val="008B5A49"/>
    <w:rsid w:val="008B6C32"/>
    <w:rsid w:val="008C0651"/>
    <w:rsid w:val="008C2BCD"/>
    <w:rsid w:val="008C7F74"/>
    <w:rsid w:val="008D19EF"/>
    <w:rsid w:val="008D1D56"/>
    <w:rsid w:val="008D2321"/>
    <w:rsid w:val="008D33E6"/>
    <w:rsid w:val="008D4498"/>
    <w:rsid w:val="008D6871"/>
    <w:rsid w:val="008E1834"/>
    <w:rsid w:val="008E2782"/>
    <w:rsid w:val="008E3F69"/>
    <w:rsid w:val="008F2005"/>
    <w:rsid w:val="008F68CF"/>
    <w:rsid w:val="00902A15"/>
    <w:rsid w:val="00914462"/>
    <w:rsid w:val="009155FD"/>
    <w:rsid w:val="00917EDC"/>
    <w:rsid w:val="00922133"/>
    <w:rsid w:val="00925ED9"/>
    <w:rsid w:val="009262A2"/>
    <w:rsid w:val="009263A1"/>
    <w:rsid w:val="00927567"/>
    <w:rsid w:val="00927FBB"/>
    <w:rsid w:val="0094068F"/>
    <w:rsid w:val="00945BD3"/>
    <w:rsid w:val="0094717E"/>
    <w:rsid w:val="00947583"/>
    <w:rsid w:val="00950336"/>
    <w:rsid w:val="0095374E"/>
    <w:rsid w:val="00954045"/>
    <w:rsid w:val="00955B30"/>
    <w:rsid w:val="00957A3D"/>
    <w:rsid w:val="00960D74"/>
    <w:rsid w:val="00963D22"/>
    <w:rsid w:val="00964B25"/>
    <w:rsid w:val="0096540E"/>
    <w:rsid w:val="009715BC"/>
    <w:rsid w:val="00971FC5"/>
    <w:rsid w:val="00973785"/>
    <w:rsid w:val="00974822"/>
    <w:rsid w:val="00976C24"/>
    <w:rsid w:val="00983191"/>
    <w:rsid w:val="00983D62"/>
    <w:rsid w:val="00990EDF"/>
    <w:rsid w:val="009914D4"/>
    <w:rsid w:val="009917EA"/>
    <w:rsid w:val="00991C32"/>
    <w:rsid w:val="00996FCE"/>
    <w:rsid w:val="0099749E"/>
    <w:rsid w:val="009A4162"/>
    <w:rsid w:val="009A5069"/>
    <w:rsid w:val="009A50DE"/>
    <w:rsid w:val="009B2176"/>
    <w:rsid w:val="009B6AE9"/>
    <w:rsid w:val="009C0E4B"/>
    <w:rsid w:val="009C0E59"/>
    <w:rsid w:val="009C29BF"/>
    <w:rsid w:val="009C5D21"/>
    <w:rsid w:val="009C6189"/>
    <w:rsid w:val="009D3DE1"/>
    <w:rsid w:val="009E1065"/>
    <w:rsid w:val="009E2903"/>
    <w:rsid w:val="009F4012"/>
    <w:rsid w:val="009F44A7"/>
    <w:rsid w:val="009F46A6"/>
    <w:rsid w:val="009F5D32"/>
    <w:rsid w:val="009F7433"/>
    <w:rsid w:val="00A06479"/>
    <w:rsid w:val="00A06F39"/>
    <w:rsid w:val="00A124CE"/>
    <w:rsid w:val="00A24D20"/>
    <w:rsid w:val="00A26AC1"/>
    <w:rsid w:val="00A2716F"/>
    <w:rsid w:val="00A27AC7"/>
    <w:rsid w:val="00A316D7"/>
    <w:rsid w:val="00A32BB9"/>
    <w:rsid w:val="00A34EB5"/>
    <w:rsid w:val="00A35FC5"/>
    <w:rsid w:val="00A406C6"/>
    <w:rsid w:val="00A40884"/>
    <w:rsid w:val="00A40C17"/>
    <w:rsid w:val="00A40D65"/>
    <w:rsid w:val="00A42CFD"/>
    <w:rsid w:val="00A43173"/>
    <w:rsid w:val="00A4334B"/>
    <w:rsid w:val="00A43AEF"/>
    <w:rsid w:val="00A45545"/>
    <w:rsid w:val="00A455A9"/>
    <w:rsid w:val="00A459DD"/>
    <w:rsid w:val="00A4653A"/>
    <w:rsid w:val="00A465FD"/>
    <w:rsid w:val="00A52252"/>
    <w:rsid w:val="00A540E6"/>
    <w:rsid w:val="00A5695C"/>
    <w:rsid w:val="00A56B10"/>
    <w:rsid w:val="00A56D2B"/>
    <w:rsid w:val="00A579E2"/>
    <w:rsid w:val="00A57BFE"/>
    <w:rsid w:val="00A615FC"/>
    <w:rsid w:val="00A65813"/>
    <w:rsid w:val="00A67646"/>
    <w:rsid w:val="00A70563"/>
    <w:rsid w:val="00A7304F"/>
    <w:rsid w:val="00A759D9"/>
    <w:rsid w:val="00A77142"/>
    <w:rsid w:val="00A77E06"/>
    <w:rsid w:val="00A80906"/>
    <w:rsid w:val="00A8251F"/>
    <w:rsid w:val="00A82E48"/>
    <w:rsid w:val="00A8416B"/>
    <w:rsid w:val="00A87A98"/>
    <w:rsid w:val="00A92710"/>
    <w:rsid w:val="00A9566D"/>
    <w:rsid w:val="00A97452"/>
    <w:rsid w:val="00AA1D03"/>
    <w:rsid w:val="00AA1E10"/>
    <w:rsid w:val="00AA4D04"/>
    <w:rsid w:val="00AA7C4E"/>
    <w:rsid w:val="00AB22B9"/>
    <w:rsid w:val="00AB26DA"/>
    <w:rsid w:val="00AB7B6B"/>
    <w:rsid w:val="00AC1204"/>
    <w:rsid w:val="00AC1B79"/>
    <w:rsid w:val="00AD10EF"/>
    <w:rsid w:val="00AD2AC1"/>
    <w:rsid w:val="00AD3DBB"/>
    <w:rsid w:val="00AD4058"/>
    <w:rsid w:val="00AD43DD"/>
    <w:rsid w:val="00AD44BE"/>
    <w:rsid w:val="00AD5357"/>
    <w:rsid w:val="00AD6126"/>
    <w:rsid w:val="00AD7529"/>
    <w:rsid w:val="00AD78F1"/>
    <w:rsid w:val="00AD79FC"/>
    <w:rsid w:val="00AE04BD"/>
    <w:rsid w:val="00AE1019"/>
    <w:rsid w:val="00AE3C03"/>
    <w:rsid w:val="00AE52A4"/>
    <w:rsid w:val="00AE6513"/>
    <w:rsid w:val="00AE6753"/>
    <w:rsid w:val="00AF011E"/>
    <w:rsid w:val="00AF164D"/>
    <w:rsid w:val="00AF2CE7"/>
    <w:rsid w:val="00AF338A"/>
    <w:rsid w:val="00AF58F6"/>
    <w:rsid w:val="00B06260"/>
    <w:rsid w:val="00B0630B"/>
    <w:rsid w:val="00B06976"/>
    <w:rsid w:val="00B1078E"/>
    <w:rsid w:val="00B165D3"/>
    <w:rsid w:val="00B17FFD"/>
    <w:rsid w:val="00B21F43"/>
    <w:rsid w:val="00B2268C"/>
    <w:rsid w:val="00B25973"/>
    <w:rsid w:val="00B338CB"/>
    <w:rsid w:val="00B37AD6"/>
    <w:rsid w:val="00B43954"/>
    <w:rsid w:val="00B51B2F"/>
    <w:rsid w:val="00B5617B"/>
    <w:rsid w:val="00B56BCD"/>
    <w:rsid w:val="00B61975"/>
    <w:rsid w:val="00B63098"/>
    <w:rsid w:val="00B700CE"/>
    <w:rsid w:val="00B7043A"/>
    <w:rsid w:val="00B737D8"/>
    <w:rsid w:val="00B772A2"/>
    <w:rsid w:val="00B80467"/>
    <w:rsid w:val="00B8271A"/>
    <w:rsid w:val="00B82984"/>
    <w:rsid w:val="00B848CF"/>
    <w:rsid w:val="00B851AC"/>
    <w:rsid w:val="00B8555C"/>
    <w:rsid w:val="00B8671B"/>
    <w:rsid w:val="00B86A7D"/>
    <w:rsid w:val="00B9067D"/>
    <w:rsid w:val="00B9203B"/>
    <w:rsid w:val="00B93AEA"/>
    <w:rsid w:val="00B93C71"/>
    <w:rsid w:val="00B94087"/>
    <w:rsid w:val="00B95174"/>
    <w:rsid w:val="00BA0268"/>
    <w:rsid w:val="00BA2E73"/>
    <w:rsid w:val="00BA2FF9"/>
    <w:rsid w:val="00BA4B8A"/>
    <w:rsid w:val="00BA5961"/>
    <w:rsid w:val="00BA6A42"/>
    <w:rsid w:val="00BB0B09"/>
    <w:rsid w:val="00BB254B"/>
    <w:rsid w:val="00BB3A8A"/>
    <w:rsid w:val="00BB6F72"/>
    <w:rsid w:val="00BC2EC1"/>
    <w:rsid w:val="00BC5811"/>
    <w:rsid w:val="00BC5A91"/>
    <w:rsid w:val="00BC6F27"/>
    <w:rsid w:val="00BC736A"/>
    <w:rsid w:val="00BC78E0"/>
    <w:rsid w:val="00BC7F91"/>
    <w:rsid w:val="00BD38BE"/>
    <w:rsid w:val="00BD4685"/>
    <w:rsid w:val="00BD5295"/>
    <w:rsid w:val="00BE15A0"/>
    <w:rsid w:val="00BE77A7"/>
    <w:rsid w:val="00BE7F08"/>
    <w:rsid w:val="00BF037D"/>
    <w:rsid w:val="00BF5392"/>
    <w:rsid w:val="00BF6737"/>
    <w:rsid w:val="00BF68CD"/>
    <w:rsid w:val="00C015DD"/>
    <w:rsid w:val="00C0204A"/>
    <w:rsid w:val="00C0221B"/>
    <w:rsid w:val="00C04D38"/>
    <w:rsid w:val="00C0609A"/>
    <w:rsid w:val="00C0736F"/>
    <w:rsid w:val="00C073B2"/>
    <w:rsid w:val="00C07D96"/>
    <w:rsid w:val="00C104A9"/>
    <w:rsid w:val="00C12E08"/>
    <w:rsid w:val="00C1494A"/>
    <w:rsid w:val="00C167A0"/>
    <w:rsid w:val="00C175A7"/>
    <w:rsid w:val="00C17D22"/>
    <w:rsid w:val="00C17F5E"/>
    <w:rsid w:val="00C21B4F"/>
    <w:rsid w:val="00C22C58"/>
    <w:rsid w:val="00C3016A"/>
    <w:rsid w:val="00C324DF"/>
    <w:rsid w:val="00C332EF"/>
    <w:rsid w:val="00C3335D"/>
    <w:rsid w:val="00C342C7"/>
    <w:rsid w:val="00C3523F"/>
    <w:rsid w:val="00C40E0C"/>
    <w:rsid w:val="00C4133F"/>
    <w:rsid w:val="00C4323F"/>
    <w:rsid w:val="00C43386"/>
    <w:rsid w:val="00C449BF"/>
    <w:rsid w:val="00C44B6F"/>
    <w:rsid w:val="00C45AC1"/>
    <w:rsid w:val="00C479A1"/>
    <w:rsid w:val="00C559FE"/>
    <w:rsid w:val="00C55BCB"/>
    <w:rsid w:val="00C55BEA"/>
    <w:rsid w:val="00C56027"/>
    <w:rsid w:val="00C61B5F"/>
    <w:rsid w:val="00C620DD"/>
    <w:rsid w:val="00C65A21"/>
    <w:rsid w:val="00C673A2"/>
    <w:rsid w:val="00C7048F"/>
    <w:rsid w:val="00C7291C"/>
    <w:rsid w:val="00C72B35"/>
    <w:rsid w:val="00C72CE5"/>
    <w:rsid w:val="00C82311"/>
    <w:rsid w:val="00C82E11"/>
    <w:rsid w:val="00C84179"/>
    <w:rsid w:val="00C85C10"/>
    <w:rsid w:val="00C94419"/>
    <w:rsid w:val="00C9724D"/>
    <w:rsid w:val="00C97BBE"/>
    <w:rsid w:val="00CA2189"/>
    <w:rsid w:val="00CA245E"/>
    <w:rsid w:val="00CA2CF0"/>
    <w:rsid w:val="00CA3BA0"/>
    <w:rsid w:val="00CA3F37"/>
    <w:rsid w:val="00CB0653"/>
    <w:rsid w:val="00CB253A"/>
    <w:rsid w:val="00CB3AC7"/>
    <w:rsid w:val="00CB4753"/>
    <w:rsid w:val="00CB79EB"/>
    <w:rsid w:val="00CC38D0"/>
    <w:rsid w:val="00CC56AE"/>
    <w:rsid w:val="00CD1500"/>
    <w:rsid w:val="00CD1FC0"/>
    <w:rsid w:val="00CD4C53"/>
    <w:rsid w:val="00CD595B"/>
    <w:rsid w:val="00CD6790"/>
    <w:rsid w:val="00CD7B59"/>
    <w:rsid w:val="00CE72E0"/>
    <w:rsid w:val="00CF18FA"/>
    <w:rsid w:val="00CF4A6F"/>
    <w:rsid w:val="00CF5FDA"/>
    <w:rsid w:val="00CF6181"/>
    <w:rsid w:val="00CF6802"/>
    <w:rsid w:val="00CF7439"/>
    <w:rsid w:val="00D011F5"/>
    <w:rsid w:val="00D04FF4"/>
    <w:rsid w:val="00D0595B"/>
    <w:rsid w:val="00D06748"/>
    <w:rsid w:val="00D103C3"/>
    <w:rsid w:val="00D10A27"/>
    <w:rsid w:val="00D11DFE"/>
    <w:rsid w:val="00D122C2"/>
    <w:rsid w:val="00D14D3B"/>
    <w:rsid w:val="00D157B1"/>
    <w:rsid w:val="00D15D68"/>
    <w:rsid w:val="00D1658C"/>
    <w:rsid w:val="00D17031"/>
    <w:rsid w:val="00D17B99"/>
    <w:rsid w:val="00D26255"/>
    <w:rsid w:val="00D279A8"/>
    <w:rsid w:val="00D32550"/>
    <w:rsid w:val="00D37DDD"/>
    <w:rsid w:val="00D411B6"/>
    <w:rsid w:val="00D41FE5"/>
    <w:rsid w:val="00D45584"/>
    <w:rsid w:val="00D45C90"/>
    <w:rsid w:val="00D45F87"/>
    <w:rsid w:val="00D46D52"/>
    <w:rsid w:val="00D56587"/>
    <w:rsid w:val="00D57040"/>
    <w:rsid w:val="00D57127"/>
    <w:rsid w:val="00D61BCD"/>
    <w:rsid w:val="00D62217"/>
    <w:rsid w:val="00D64927"/>
    <w:rsid w:val="00D64F1F"/>
    <w:rsid w:val="00D7007C"/>
    <w:rsid w:val="00D722F5"/>
    <w:rsid w:val="00D74102"/>
    <w:rsid w:val="00D75843"/>
    <w:rsid w:val="00D77A5D"/>
    <w:rsid w:val="00D807C3"/>
    <w:rsid w:val="00D86EF4"/>
    <w:rsid w:val="00D90AAD"/>
    <w:rsid w:val="00D90EC9"/>
    <w:rsid w:val="00D91F38"/>
    <w:rsid w:val="00D937C2"/>
    <w:rsid w:val="00D95D12"/>
    <w:rsid w:val="00DA0129"/>
    <w:rsid w:val="00DB4D3B"/>
    <w:rsid w:val="00DC0347"/>
    <w:rsid w:val="00DC1343"/>
    <w:rsid w:val="00DC28C6"/>
    <w:rsid w:val="00DC4758"/>
    <w:rsid w:val="00DD1AE7"/>
    <w:rsid w:val="00DD5816"/>
    <w:rsid w:val="00DE5701"/>
    <w:rsid w:val="00DE5E88"/>
    <w:rsid w:val="00DE74BC"/>
    <w:rsid w:val="00DF03E8"/>
    <w:rsid w:val="00DF3458"/>
    <w:rsid w:val="00DF5012"/>
    <w:rsid w:val="00DF7F0A"/>
    <w:rsid w:val="00DF7F26"/>
    <w:rsid w:val="00E045ED"/>
    <w:rsid w:val="00E07172"/>
    <w:rsid w:val="00E07A17"/>
    <w:rsid w:val="00E10586"/>
    <w:rsid w:val="00E126F2"/>
    <w:rsid w:val="00E1291A"/>
    <w:rsid w:val="00E13E6E"/>
    <w:rsid w:val="00E15764"/>
    <w:rsid w:val="00E25ACA"/>
    <w:rsid w:val="00E262C4"/>
    <w:rsid w:val="00E31ED4"/>
    <w:rsid w:val="00E32151"/>
    <w:rsid w:val="00E3234F"/>
    <w:rsid w:val="00E364B4"/>
    <w:rsid w:val="00E371BD"/>
    <w:rsid w:val="00E40174"/>
    <w:rsid w:val="00E40FDC"/>
    <w:rsid w:val="00E43A51"/>
    <w:rsid w:val="00E47E0E"/>
    <w:rsid w:val="00E512D8"/>
    <w:rsid w:val="00E60C5D"/>
    <w:rsid w:val="00E64216"/>
    <w:rsid w:val="00E67620"/>
    <w:rsid w:val="00E67F86"/>
    <w:rsid w:val="00E70A76"/>
    <w:rsid w:val="00E73FF2"/>
    <w:rsid w:val="00E74062"/>
    <w:rsid w:val="00E75C31"/>
    <w:rsid w:val="00E82013"/>
    <w:rsid w:val="00E82C96"/>
    <w:rsid w:val="00E83E9D"/>
    <w:rsid w:val="00E86038"/>
    <w:rsid w:val="00E86903"/>
    <w:rsid w:val="00E9078A"/>
    <w:rsid w:val="00E90829"/>
    <w:rsid w:val="00E933A5"/>
    <w:rsid w:val="00E93490"/>
    <w:rsid w:val="00EA23F5"/>
    <w:rsid w:val="00EB0FAB"/>
    <w:rsid w:val="00EB4982"/>
    <w:rsid w:val="00EC3270"/>
    <w:rsid w:val="00EC55F7"/>
    <w:rsid w:val="00EC57E9"/>
    <w:rsid w:val="00EC5AF5"/>
    <w:rsid w:val="00EC7B3E"/>
    <w:rsid w:val="00ED0002"/>
    <w:rsid w:val="00ED1B9F"/>
    <w:rsid w:val="00ED507C"/>
    <w:rsid w:val="00ED6951"/>
    <w:rsid w:val="00EE0108"/>
    <w:rsid w:val="00EF0A29"/>
    <w:rsid w:val="00EF0FE7"/>
    <w:rsid w:val="00EF396F"/>
    <w:rsid w:val="00EF5CA2"/>
    <w:rsid w:val="00EF7F60"/>
    <w:rsid w:val="00F02E6D"/>
    <w:rsid w:val="00F03572"/>
    <w:rsid w:val="00F03E25"/>
    <w:rsid w:val="00F04EAB"/>
    <w:rsid w:val="00F10E9C"/>
    <w:rsid w:val="00F11046"/>
    <w:rsid w:val="00F13929"/>
    <w:rsid w:val="00F15091"/>
    <w:rsid w:val="00F150AF"/>
    <w:rsid w:val="00F16250"/>
    <w:rsid w:val="00F20ECF"/>
    <w:rsid w:val="00F24B7A"/>
    <w:rsid w:val="00F24C2B"/>
    <w:rsid w:val="00F2567D"/>
    <w:rsid w:val="00F25C47"/>
    <w:rsid w:val="00F267A7"/>
    <w:rsid w:val="00F3004C"/>
    <w:rsid w:val="00F30E1D"/>
    <w:rsid w:val="00F3435D"/>
    <w:rsid w:val="00F34848"/>
    <w:rsid w:val="00F37551"/>
    <w:rsid w:val="00F40298"/>
    <w:rsid w:val="00F40DB8"/>
    <w:rsid w:val="00F43441"/>
    <w:rsid w:val="00F43812"/>
    <w:rsid w:val="00F4569C"/>
    <w:rsid w:val="00F45C49"/>
    <w:rsid w:val="00F45CB9"/>
    <w:rsid w:val="00F47439"/>
    <w:rsid w:val="00F5219D"/>
    <w:rsid w:val="00F540E2"/>
    <w:rsid w:val="00F5430C"/>
    <w:rsid w:val="00F56034"/>
    <w:rsid w:val="00F60F6E"/>
    <w:rsid w:val="00F61B94"/>
    <w:rsid w:val="00F6368F"/>
    <w:rsid w:val="00F659D3"/>
    <w:rsid w:val="00F66F16"/>
    <w:rsid w:val="00F702EB"/>
    <w:rsid w:val="00F70FAA"/>
    <w:rsid w:val="00F71601"/>
    <w:rsid w:val="00F7200B"/>
    <w:rsid w:val="00F75460"/>
    <w:rsid w:val="00F766DF"/>
    <w:rsid w:val="00F7797E"/>
    <w:rsid w:val="00F82303"/>
    <w:rsid w:val="00F85EA8"/>
    <w:rsid w:val="00F86BD3"/>
    <w:rsid w:val="00F91A82"/>
    <w:rsid w:val="00F91DE3"/>
    <w:rsid w:val="00F9657A"/>
    <w:rsid w:val="00F97448"/>
    <w:rsid w:val="00F97B8A"/>
    <w:rsid w:val="00FA00D9"/>
    <w:rsid w:val="00FA045B"/>
    <w:rsid w:val="00FA1FCE"/>
    <w:rsid w:val="00FA56D3"/>
    <w:rsid w:val="00FA750A"/>
    <w:rsid w:val="00FB0372"/>
    <w:rsid w:val="00FB0902"/>
    <w:rsid w:val="00FB09E1"/>
    <w:rsid w:val="00FB1BE7"/>
    <w:rsid w:val="00FB4E03"/>
    <w:rsid w:val="00FB53CD"/>
    <w:rsid w:val="00FB5B6E"/>
    <w:rsid w:val="00FB6A63"/>
    <w:rsid w:val="00FB72FB"/>
    <w:rsid w:val="00FB7530"/>
    <w:rsid w:val="00FC0C64"/>
    <w:rsid w:val="00FC31C1"/>
    <w:rsid w:val="00FD0DCA"/>
    <w:rsid w:val="00FD2739"/>
    <w:rsid w:val="00FD2A2D"/>
    <w:rsid w:val="00FD30E4"/>
    <w:rsid w:val="00FD3F92"/>
    <w:rsid w:val="00FD5913"/>
    <w:rsid w:val="00FD7651"/>
    <w:rsid w:val="00FE75F8"/>
    <w:rsid w:val="00FF2288"/>
    <w:rsid w:val="00FF3852"/>
    <w:rsid w:val="00FF3BF6"/>
    <w:rsid w:val="00FF49A0"/>
    <w:rsid w:val="00FF4C36"/>
    <w:rsid w:val="00FF5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72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7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4062">
      <w:bodyDiv w:val="1"/>
      <w:marLeft w:val="0"/>
      <w:marRight w:val="0"/>
      <w:marTop w:val="0"/>
      <w:marBottom w:val="0"/>
      <w:divBdr>
        <w:top w:val="none" w:sz="0" w:space="0" w:color="auto"/>
        <w:left w:val="none" w:sz="0" w:space="0" w:color="auto"/>
        <w:bottom w:val="none" w:sz="0" w:space="0" w:color="auto"/>
        <w:right w:val="none" w:sz="0" w:space="0" w:color="auto"/>
      </w:divBdr>
      <w:divsChild>
        <w:div w:id="1627351205">
          <w:marLeft w:val="0"/>
          <w:marRight w:val="0"/>
          <w:marTop w:val="0"/>
          <w:marBottom w:val="0"/>
          <w:divBdr>
            <w:top w:val="none" w:sz="0" w:space="0" w:color="auto"/>
            <w:left w:val="none" w:sz="0" w:space="0" w:color="auto"/>
            <w:bottom w:val="none" w:sz="0" w:space="0" w:color="auto"/>
            <w:right w:val="none" w:sz="0" w:space="0" w:color="auto"/>
          </w:divBdr>
          <w:divsChild>
            <w:div w:id="1421877647">
              <w:marLeft w:val="0"/>
              <w:marRight w:val="0"/>
              <w:marTop w:val="0"/>
              <w:marBottom w:val="0"/>
              <w:divBdr>
                <w:top w:val="none" w:sz="0" w:space="0" w:color="auto"/>
                <w:left w:val="none" w:sz="0" w:space="0" w:color="auto"/>
                <w:bottom w:val="none" w:sz="0" w:space="0" w:color="auto"/>
                <w:right w:val="none" w:sz="0" w:space="0" w:color="auto"/>
              </w:divBdr>
              <w:divsChild>
                <w:div w:id="1405563276">
                  <w:marLeft w:val="0"/>
                  <w:marRight w:val="0"/>
                  <w:marTop w:val="0"/>
                  <w:marBottom w:val="0"/>
                  <w:divBdr>
                    <w:top w:val="none" w:sz="0" w:space="0" w:color="auto"/>
                    <w:left w:val="none" w:sz="0" w:space="0" w:color="auto"/>
                    <w:bottom w:val="none" w:sz="0" w:space="0" w:color="auto"/>
                    <w:right w:val="none" w:sz="0" w:space="0" w:color="auto"/>
                  </w:divBdr>
                  <w:divsChild>
                    <w:div w:id="435563776">
                      <w:marLeft w:val="0"/>
                      <w:marRight w:val="0"/>
                      <w:marTop w:val="0"/>
                      <w:marBottom w:val="0"/>
                      <w:divBdr>
                        <w:top w:val="none" w:sz="0" w:space="0" w:color="auto"/>
                        <w:left w:val="none" w:sz="0" w:space="0" w:color="auto"/>
                        <w:bottom w:val="none" w:sz="0" w:space="0" w:color="auto"/>
                        <w:right w:val="none" w:sz="0" w:space="0" w:color="auto"/>
                      </w:divBdr>
                    </w:div>
                    <w:div w:id="19940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7291">
              <w:marLeft w:val="0"/>
              <w:marRight w:val="0"/>
              <w:marTop w:val="0"/>
              <w:marBottom w:val="0"/>
              <w:divBdr>
                <w:top w:val="none" w:sz="0" w:space="0" w:color="auto"/>
                <w:left w:val="none" w:sz="0" w:space="0" w:color="auto"/>
                <w:bottom w:val="none" w:sz="0" w:space="0" w:color="auto"/>
                <w:right w:val="none" w:sz="0" w:space="0" w:color="auto"/>
              </w:divBdr>
              <w:divsChild>
                <w:div w:id="1291546572">
                  <w:marLeft w:val="0"/>
                  <w:marRight w:val="0"/>
                  <w:marTop w:val="0"/>
                  <w:marBottom w:val="0"/>
                  <w:divBdr>
                    <w:top w:val="none" w:sz="0" w:space="0" w:color="auto"/>
                    <w:left w:val="none" w:sz="0" w:space="0" w:color="auto"/>
                    <w:bottom w:val="none" w:sz="0" w:space="0" w:color="auto"/>
                    <w:right w:val="none" w:sz="0" w:space="0" w:color="auto"/>
                  </w:divBdr>
                  <w:divsChild>
                    <w:div w:id="1853563161">
                      <w:marLeft w:val="0"/>
                      <w:marRight w:val="0"/>
                      <w:marTop w:val="0"/>
                      <w:marBottom w:val="0"/>
                      <w:divBdr>
                        <w:top w:val="none" w:sz="0" w:space="0" w:color="auto"/>
                        <w:left w:val="none" w:sz="0" w:space="0" w:color="auto"/>
                        <w:bottom w:val="none" w:sz="0" w:space="0" w:color="auto"/>
                        <w:right w:val="none" w:sz="0" w:space="0" w:color="auto"/>
                      </w:divBdr>
                      <w:divsChild>
                        <w:div w:id="140581092">
                          <w:marLeft w:val="0"/>
                          <w:marRight w:val="0"/>
                          <w:marTop w:val="0"/>
                          <w:marBottom w:val="0"/>
                          <w:divBdr>
                            <w:top w:val="none" w:sz="0" w:space="0" w:color="auto"/>
                            <w:left w:val="none" w:sz="0" w:space="0" w:color="auto"/>
                            <w:bottom w:val="none" w:sz="0" w:space="0" w:color="auto"/>
                            <w:right w:val="none" w:sz="0" w:space="0" w:color="auto"/>
                          </w:divBdr>
                          <w:divsChild>
                            <w:div w:id="1998611916">
                              <w:marLeft w:val="0"/>
                              <w:marRight w:val="0"/>
                              <w:marTop w:val="0"/>
                              <w:marBottom w:val="0"/>
                              <w:divBdr>
                                <w:top w:val="none" w:sz="0" w:space="0" w:color="auto"/>
                                <w:left w:val="none" w:sz="0" w:space="0" w:color="auto"/>
                                <w:bottom w:val="none" w:sz="0" w:space="0" w:color="auto"/>
                                <w:right w:val="none" w:sz="0" w:space="0" w:color="auto"/>
                              </w:divBdr>
                            </w:div>
                            <w:div w:id="1960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arietaveneto.it/development/solidarietaveneto/contents.nsf/($linkacross)/FB283349DFF5D413C1257EAC004EFC1D?opendocumen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olidarietaveneto.it/development/solidarietaveneto/contents.nsf/($linkacross)/FB283349DFF5D413C1257EAC004EFC1D?opendocu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5146</Characters>
  <Application>Microsoft Office Word</Application>
  <DocSecurity>0</DocSecurity>
  <Lines>42</Lines>
  <Paragraphs>12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La recessione demografica innesca la “bomba pensionistica”</vt:lpstr>
    </vt:vector>
  </TitlesOfParts>
  <Company>Consiglio Regionale del Veneto</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VIANELLO SONIA</dc:creator>
  <cp:lastModifiedBy>VIANELLO SONIA</cp:lastModifiedBy>
  <cp:revision>1</cp:revision>
  <dcterms:created xsi:type="dcterms:W3CDTF">2019-10-22T08:26:00Z</dcterms:created>
  <dcterms:modified xsi:type="dcterms:W3CDTF">2019-10-22T08:28:00Z</dcterms:modified>
</cp:coreProperties>
</file>